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52"/>
          <w:szCs w:val="52"/>
        </w:rPr>
      </w:pPr>
      <w:r>
        <w:rPr>
          <w:rFonts w:hint="eastAsia" w:ascii="宋体" w:hAnsi="宋体"/>
          <w:b/>
          <w:bCs/>
          <w:sz w:val="52"/>
          <w:szCs w:val="52"/>
        </w:rPr>
        <w:t>玻璃纤维增强塑料电缆导管项目可行性研究报告遴选文件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spacing w:line="700" w:lineRule="exact"/>
        <w:jc w:val="left"/>
        <w:rPr>
          <w:rFonts w:ascii="宋体" w:hAnsi="宋体"/>
          <w:b/>
          <w:bCs/>
          <w:sz w:val="32"/>
          <w:szCs w:val="32"/>
        </w:rPr>
      </w:pPr>
      <w:r>
        <w:rPr>
          <w:rFonts w:hint="eastAsia" w:ascii="宋体" w:hAnsi="宋体"/>
          <w:b/>
          <w:bCs/>
          <w:sz w:val="32"/>
          <w:szCs w:val="32"/>
        </w:rPr>
        <w:t>项目名称：玻璃纤维增强塑料电缆导管项目可行性研究报告</w:t>
      </w:r>
    </w:p>
    <w:p>
      <w:pPr>
        <w:spacing w:line="700" w:lineRule="exact"/>
        <w:jc w:val="left"/>
        <w:rPr>
          <w:rFonts w:ascii="宋体" w:hAnsi="宋体"/>
          <w:b/>
          <w:bCs/>
          <w:sz w:val="32"/>
          <w:szCs w:val="32"/>
        </w:rPr>
      </w:pPr>
      <w:r>
        <w:rPr>
          <w:rFonts w:hint="eastAsia" w:ascii="宋体" w:hAnsi="宋体"/>
          <w:b/>
          <w:bCs/>
          <w:sz w:val="32"/>
          <w:szCs w:val="32"/>
        </w:rPr>
        <w:t>遴选人：鄂州市城市发展投资控股集团有限公司</w:t>
      </w:r>
    </w:p>
    <w:p>
      <w:pPr>
        <w:spacing w:line="700" w:lineRule="exact"/>
        <w:rPr>
          <w:rFonts w:ascii="宋体" w:hAnsi="宋体"/>
          <w:b/>
          <w:bCs/>
          <w:sz w:val="30"/>
          <w:szCs w:val="30"/>
        </w:rPr>
      </w:pPr>
    </w:p>
    <w:p>
      <w:pPr>
        <w:spacing w:line="700" w:lineRule="exact"/>
        <w:jc w:val="center"/>
        <w:rPr>
          <w:rFonts w:ascii="宋体" w:hAnsi="宋体"/>
          <w:b/>
          <w:bCs/>
          <w:sz w:val="32"/>
          <w:szCs w:val="32"/>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b/>
          <w:bCs/>
          <w:sz w:val="32"/>
          <w:szCs w:val="32"/>
        </w:rPr>
        <w:t>二0二二年八月</w:t>
      </w:r>
    </w:p>
    <w:p>
      <w:pPr>
        <w:pStyle w:val="3"/>
        <w:spacing w:before="260" w:after="260" w:line="500" w:lineRule="exact"/>
        <w:jc w:val="center"/>
        <w:rPr>
          <w:rFonts w:ascii="宋体" w:hAnsi="宋体"/>
        </w:rPr>
      </w:pPr>
      <w:bookmarkStart w:id="0" w:name="_Toc26474"/>
      <w:r>
        <w:rPr>
          <w:rFonts w:hint="eastAsia" w:ascii="宋体" w:hAnsi="宋体"/>
        </w:rPr>
        <w:t>第一章  遴选公告</w:t>
      </w:r>
      <w:bookmarkEnd w:id="0"/>
    </w:p>
    <w:p>
      <w:pPr>
        <w:spacing w:line="500" w:lineRule="exact"/>
        <w:ind w:firstLine="480" w:firstLineChars="200"/>
        <w:jc w:val="left"/>
        <w:rPr>
          <w:rFonts w:ascii="宋体" w:hAnsi="宋体" w:cs="宋体"/>
          <w:sz w:val="24"/>
          <w:szCs w:val="24"/>
        </w:rPr>
      </w:pPr>
      <w:r>
        <w:rPr>
          <w:rFonts w:hint="eastAsia" w:ascii="宋体" w:hAnsi="宋体" w:cs="宋体"/>
          <w:sz w:val="24"/>
          <w:szCs w:val="24"/>
        </w:rPr>
        <w:t>鄂州市城市发展投资控股集团有限公司（以下简称“遴选人”）拟对玻璃纤维增强塑料电缆导管项目可行性研究报告进行公开遴选，欢迎符合资格条件的单位参与遴选。</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项目名称：玻璃纤维增强塑料电缆导管项目可行性研究报告</w:t>
      </w:r>
    </w:p>
    <w:p>
      <w:pPr>
        <w:numPr>
          <w:ilvl w:val="0"/>
          <w:numId w:val="1"/>
        </w:numPr>
        <w:spacing w:line="500" w:lineRule="exact"/>
        <w:ind w:firstLine="480" w:firstLineChars="200"/>
        <w:jc w:val="left"/>
        <w:rPr>
          <w:rFonts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10万元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三、服务期：签订合同至报告出具终稿</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四、申请人资格要求：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3、本项目不接受联合体参加投标，中选人不得分包或转包。</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获取遴选文件方式：</w:t>
      </w:r>
    </w:p>
    <w:p>
      <w:pPr>
        <w:spacing w:line="500" w:lineRule="exact"/>
        <w:ind w:firstLine="480" w:firstLineChars="200"/>
        <w:jc w:val="left"/>
        <w:rPr>
          <w:rFonts w:ascii="宋体" w:hAnsi="宋体" w:cs="宋体"/>
          <w:sz w:val="24"/>
          <w:szCs w:val="24"/>
        </w:rPr>
      </w:pPr>
      <w:r>
        <w:rPr>
          <w:rFonts w:ascii="宋体" w:hAnsi="宋体" w:cs="宋体"/>
          <w:sz w:val="24"/>
          <w:szCs w:val="24"/>
        </w:rPr>
        <w:t>申请参与遴选的采购代理机构应当在</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lang w:val="en-US" w:eastAsia="zh-CN"/>
        </w:rPr>
        <w:t>8</w:t>
      </w:r>
      <w:r>
        <w:rPr>
          <w:rFonts w:ascii="宋体" w:hAnsi="宋体" w:cs="宋体"/>
          <w:sz w:val="24"/>
          <w:szCs w:val="24"/>
          <w:highlight w:val="none"/>
        </w:rPr>
        <w:t>月</w:t>
      </w:r>
      <w:r>
        <w:rPr>
          <w:rFonts w:hint="eastAsia" w:ascii="宋体" w:hAnsi="宋体" w:cs="宋体"/>
          <w:sz w:val="24"/>
          <w:szCs w:val="24"/>
          <w:highlight w:val="none"/>
          <w:lang w:val="en-US" w:eastAsia="zh-CN"/>
        </w:rPr>
        <w:t>24</w:t>
      </w:r>
      <w:r>
        <w:rPr>
          <w:rFonts w:ascii="宋体" w:hAnsi="宋体" w:cs="宋体"/>
          <w:sz w:val="24"/>
          <w:szCs w:val="24"/>
          <w:highlight w:val="none"/>
        </w:rPr>
        <w:t>日起至</w:t>
      </w:r>
      <w:r>
        <w:rPr>
          <w:rFonts w:hint="eastAsia" w:ascii="宋体" w:hAnsi="宋体" w:cs="宋体"/>
          <w:sz w:val="24"/>
          <w:szCs w:val="24"/>
          <w:highlight w:val="none"/>
        </w:rPr>
        <w:t>2022</w:t>
      </w:r>
      <w:r>
        <w:rPr>
          <w:rFonts w:ascii="宋体" w:hAnsi="宋体" w:cs="宋体"/>
          <w:sz w:val="24"/>
          <w:szCs w:val="24"/>
          <w:highlight w:val="none"/>
        </w:rPr>
        <w:t>年</w:t>
      </w:r>
      <w:r>
        <w:rPr>
          <w:rFonts w:hint="eastAsia" w:ascii="宋体" w:hAnsi="宋体" w:cs="宋体"/>
          <w:sz w:val="24"/>
          <w:szCs w:val="24"/>
          <w:highlight w:val="none"/>
          <w:lang w:val="en-US" w:eastAsia="zh-CN"/>
        </w:rPr>
        <w:t>8</w:t>
      </w:r>
      <w:r>
        <w:rPr>
          <w:rFonts w:ascii="宋体" w:hAnsi="宋体" w:cs="宋体"/>
          <w:sz w:val="24"/>
          <w:szCs w:val="24"/>
          <w:highlight w:val="none"/>
        </w:rPr>
        <w:t>月</w:t>
      </w:r>
      <w:r>
        <w:rPr>
          <w:rFonts w:hint="eastAsia" w:ascii="宋体" w:hAnsi="宋体" w:cs="宋体"/>
          <w:sz w:val="24"/>
          <w:szCs w:val="24"/>
          <w:highlight w:val="none"/>
          <w:lang w:val="en-US" w:eastAsia="zh-CN"/>
        </w:rPr>
        <w:t>26</w:t>
      </w:r>
      <w:r>
        <w:rPr>
          <w:rFonts w:ascii="宋体" w:hAnsi="宋体" w:cs="宋体"/>
          <w:sz w:val="24"/>
          <w:szCs w:val="24"/>
          <w:highlight w:val="none"/>
        </w:rPr>
        <w:t>日期间（上午8:30</w:t>
      </w:r>
      <w:r>
        <w:rPr>
          <w:rFonts w:hint="eastAsia" w:ascii="宋体" w:hAnsi="宋体" w:cs="宋体"/>
          <w:sz w:val="24"/>
          <w:szCs w:val="24"/>
          <w:highlight w:val="none"/>
        </w:rPr>
        <w:t>-</w:t>
      </w:r>
      <w:r>
        <w:rPr>
          <w:rFonts w:ascii="宋体" w:hAnsi="宋体" w:cs="宋体"/>
          <w:sz w:val="24"/>
          <w:szCs w:val="24"/>
          <w:highlight w:val="none"/>
        </w:rPr>
        <w:t>12:00，下午14:30</w:t>
      </w:r>
      <w:r>
        <w:rPr>
          <w:rFonts w:hint="eastAsia" w:ascii="宋体" w:hAnsi="宋体" w:cs="宋体"/>
          <w:sz w:val="24"/>
          <w:szCs w:val="24"/>
          <w:highlight w:val="none"/>
        </w:rPr>
        <w:t>-</w:t>
      </w:r>
      <w:r>
        <w:rPr>
          <w:rFonts w:ascii="宋体" w:hAnsi="宋体" w:cs="宋体"/>
          <w:sz w:val="24"/>
          <w:szCs w:val="24"/>
          <w:highlight w:val="none"/>
        </w:rPr>
        <w:t>17:30，法定节假日除外）到</w:t>
      </w:r>
      <w:r>
        <w:rPr>
          <w:rFonts w:hint="eastAsia" w:ascii="宋体" w:hAnsi="宋体" w:eastAsia="宋体" w:cs="宋体"/>
          <w:i w:val="0"/>
          <w:iCs w:val="0"/>
          <w:caps w:val="0"/>
          <w:color w:val="333333"/>
          <w:spacing w:val="0"/>
          <w:sz w:val="24"/>
          <w:szCs w:val="24"/>
          <w:highlight w:val="none"/>
          <w:shd w:val="clear" w:fill="FFFFFF"/>
        </w:rPr>
        <w:t>鄂州市城市发展投资控股集团有限公司（鄂州市滨湖南路住房公积金大楼5楼）</w:t>
      </w:r>
      <w:r>
        <w:rPr>
          <w:rFonts w:ascii="宋体" w:hAnsi="宋体" w:cs="宋体"/>
          <w:sz w:val="24"/>
          <w:szCs w:val="24"/>
          <w:highlight w:val="none"/>
        </w:rPr>
        <w:t>。遴</w:t>
      </w:r>
      <w:r>
        <w:rPr>
          <w:rFonts w:ascii="宋体" w:hAnsi="宋体" w:cs="宋体"/>
          <w:sz w:val="24"/>
          <w:szCs w:val="24"/>
        </w:rPr>
        <w:t>选文件凭以下材料免费领取： 1、企业法人营业执照复印件</w:t>
      </w:r>
      <w:r>
        <w:rPr>
          <w:rFonts w:hint="eastAsia" w:ascii="宋体" w:hAnsi="宋体" w:cs="宋体"/>
          <w:sz w:val="24"/>
          <w:szCs w:val="24"/>
        </w:rPr>
        <w:t>、资质证书复印件</w:t>
      </w:r>
      <w:r>
        <w:rPr>
          <w:rFonts w:ascii="宋体" w:hAnsi="宋体" w:cs="宋体"/>
          <w:sz w:val="24"/>
          <w:szCs w:val="24"/>
        </w:rPr>
        <w:t>； 2、报名人身份证复印件（带原件核对）； 3、法定代表人授权委托书原件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注：</w:t>
      </w:r>
      <w:r>
        <w:rPr>
          <w:rFonts w:ascii="宋体" w:hAnsi="宋体" w:cs="宋体"/>
          <w:sz w:val="24"/>
          <w:szCs w:val="24"/>
        </w:rPr>
        <w:t>没有登记报名领取遴选文件的，不得参与本次遴选</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六、响应文件的递交时间、开标时间和地点</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eastAsia="zh-CN"/>
        </w:rPr>
        <w:t>.</w:t>
      </w:r>
      <w:r>
        <w:rPr>
          <w:rFonts w:hint="eastAsia" w:ascii="宋体" w:hAnsi="宋体" w:cs="宋体"/>
          <w:sz w:val="24"/>
          <w:szCs w:val="24"/>
          <w:highlight w:val="none"/>
        </w:rPr>
        <w:t>响应文件递交时间为2022年</w:t>
      </w:r>
      <w:r>
        <w:rPr>
          <w:rFonts w:hint="eastAsia" w:ascii="宋体" w:hAnsi="宋体" w:cs="宋体"/>
          <w:sz w:val="24"/>
          <w:szCs w:val="24"/>
          <w:highlight w:val="none"/>
          <w:lang w:val="en-US" w:eastAsia="zh-CN"/>
        </w:rPr>
        <w:t>8</w:t>
      </w:r>
      <w:r>
        <w:rPr>
          <w:rFonts w:hint="eastAsia" w:ascii="宋体" w:hAnsi="宋体" w:cs="宋体"/>
          <w:sz w:val="24"/>
          <w:szCs w:val="24"/>
          <w:highlight w:val="none"/>
        </w:rPr>
        <w:t>月</w:t>
      </w:r>
      <w:r>
        <w:rPr>
          <w:rFonts w:hint="eastAsia" w:ascii="宋体" w:hAnsi="宋体" w:cs="宋体"/>
          <w:sz w:val="24"/>
          <w:szCs w:val="24"/>
          <w:highlight w:val="none"/>
          <w:lang w:val="en-US" w:eastAsia="zh-CN"/>
        </w:rPr>
        <w:t>29</w:t>
      </w:r>
      <w:r>
        <w:rPr>
          <w:rFonts w:hint="eastAsia" w:ascii="宋体" w:hAnsi="宋体" w:cs="宋体"/>
          <w:sz w:val="24"/>
          <w:szCs w:val="24"/>
          <w:highlight w:val="none"/>
        </w:rPr>
        <w:t>日</w:t>
      </w:r>
      <w:r>
        <w:rPr>
          <w:rFonts w:hint="eastAsia" w:ascii="宋体" w:hAnsi="宋体" w:cs="宋体"/>
          <w:sz w:val="24"/>
          <w:szCs w:val="24"/>
          <w:highlight w:val="none"/>
          <w:lang w:val="en-US" w:eastAsia="zh-CN"/>
        </w:rPr>
        <w:t>9:00</w:t>
      </w:r>
      <w:r>
        <w:rPr>
          <w:rFonts w:hint="eastAsia" w:ascii="宋体" w:hAnsi="宋体" w:cs="宋体"/>
          <w:sz w:val="24"/>
          <w:szCs w:val="24"/>
          <w:highlight w:val="none"/>
        </w:rPr>
        <w:t>时。逾期送达的响应文件恕不接受。</w:t>
      </w:r>
    </w:p>
    <w:p>
      <w:pPr>
        <w:numPr>
          <w:ilvl w:val="0"/>
          <w:numId w:val="0"/>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遴选开标时间：2022年</w:t>
      </w:r>
      <w:r>
        <w:rPr>
          <w:rFonts w:hint="eastAsia" w:ascii="宋体" w:hAnsi="宋体" w:cs="宋体"/>
          <w:sz w:val="24"/>
          <w:szCs w:val="24"/>
          <w:highlight w:val="none"/>
          <w:lang w:val="en-US" w:eastAsia="zh-CN"/>
        </w:rPr>
        <w:t>8</w:t>
      </w:r>
      <w:r>
        <w:rPr>
          <w:rFonts w:hint="eastAsia" w:ascii="宋体" w:hAnsi="宋体" w:cs="宋体"/>
          <w:sz w:val="24"/>
          <w:szCs w:val="24"/>
          <w:highlight w:val="none"/>
        </w:rPr>
        <w:t>月</w:t>
      </w:r>
      <w:r>
        <w:rPr>
          <w:rFonts w:hint="eastAsia" w:ascii="宋体" w:hAnsi="宋体" w:cs="宋体"/>
          <w:sz w:val="24"/>
          <w:szCs w:val="24"/>
          <w:highlight w:val="none"/>
          <w:lang w:val="en-US" w:eastAsia="zh-CN"/>
        </w:rPr>
        <w:t>29</w:t>
      </w:r>
      <w:r>
        <w:rPr>
          <w:rFonts w:hint="eastAsia" w:ascii="宋体" w:hAnsi="宋体" w:cs="宋体"/>
          <w:sz w:val="24"/>
          <w:szCs w:val="24"/>
          <w:highlight w:val="none"/>
        </w:rPr>
        <w:t>日</w:t>
      </w:r>
      <w:r>
        <w:rPr>
          <w:rFonts w:hint="eastAsia" w:ascii="宋体" w:hAnsi="宋体" w:cs="宋体"/>
          <w:sz w:val="24"/>
          <w:szCs w:val="24"/>
          <w:highlight w:val="none"/>
          <w:lang w:val="en-US" w:eastAsia="zh-CN"/>
        </w:rPr>
        <w:t>9:00</w:t>
      </w:r>
      <w:r>
        <w:rPr>
          <w:rFonts w:hint="eastAsia" w:ascii="宋体" w:hAnsi="宋体" w:cs="宋体"/>
          <w:sz w:val="24"/>
          <w:szCs w:val="24"/>
          <w:highlight w:val="none"/>
        </w:rPr>
        <w:t xml:space="preserve">时 </w:t>
      </w:r>
      <w:bookmarkStart w:id="23" w:name="_GoBack"/>
      <w:bookmarkEnd w:id="23"/>
    </w:p>
    <w:p>
      <w:pPr>
        <w:numPr>
          <w:ilvl w:val="0"/>
          <w:numId w:val="0"/>
        </w:num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响应文件送达及开标地点:</w:t>
      </w:r>
      <w:r>
        <w:rPr>
          <w:rFonts w:hint="eastAsia" w:ascii="宋体" w:hAnsi="宋体" w:eastAsia="宋体" w:cs="宋体"/>
          <w:i w:val="0"/>
          <w:iCs w:val="0"/>
          <w:caps w:val="0"/>
          <w:color w:val="333333"/>
          <w:spacing w:val="0"/>
          <w:sz w:val="24"/>
          <w:szCs w:val="24"/>
          <w:highlight w:val="none"/>
          <w:shd w:val="clear" w:fill="FFFFFF"/>
        </w:rPr>
        <w:t>鄂州市城市发展投资控股集团有限公司（鄂州市滨湖南路住房公积金大楼5楼）</w:t>
      </w:r>
    </w:p>
    <w:p>
      <w:pPr>
        <w:spacing w:line="500" w:lineRule="exact"/>
        <w:ind w:left="420" w:leftChars="200"/>
        <w:jc w:val="left"/>
        <w:rPr>
          <w:rFonts w:ascii="宋体" w:hAnsi="宋体" w:cs="宋体"/>
          <w:sz w:val="24"/>
          <w:szCs w:val="24"/>
          <w:highlight w:val="none"/>
        </w:rPr>
      </w:pPr>
      <w:r>
        <w:rPr>
          <w:rFonts w:hint="eastAsia" w:ascii="宋体" w:hAnsi="宋体" w:cs="宋体"/>
          <w:sz w:val="24"/>
          <w:szCs w:val="24"/>
          <w:highlight w:val="none"/>
        </w:rPr>
        <w:t>七、发布公告的媒体</w:t>
      </w:r>
    </w:p>
    <w:p>
      <w:pPr>
        <w:spacing w:line="500" w:lineRule="exact"/>
        <w:ind w:firstLine="480" w:firstLineChars="200"/>
        <w:jc w:val="left"/>
        <w:rPr>
          <w:rFonts w:ascii="宋体" w:hAnsi="宋体" w:cs="宋体"/>
          <w:sz w:val="24"/>
          <w:szCs w:val="24"/>
        </w:rPr>
      </w:pPr>
      <w:r>
        <w:rPr>
          <w:rFonts w:hint="eastAsia" w:ascii="宋体" w:hAnsi="宋体" w:cs="宋体"/>
          <w:sz w:val="24"/>
          <w:szCs w:val="24"/>
          <w:highlight w:val="none"/>
        </w:rPr>
        <w:t>本公告在</w:t>
      </w:r>
      <w:r>
        <w:rPr>
          <w:rFonts w:ascii="微软雅黑" w:hAnsi="微软雅黑" w:eastAsia="微软雅黑" w:cs="微软雅黑"/>
          <w:i w:val="0"/>
          <w:iCs w:val="0"/>
          <w:caps w:val="0"/>
          <w:color w:val="333333"/>
          <w:spacing w:val="0"/>
          <w:sz w:val="24"/>
          <w:szCs w:val="24"/>
          <w:highlight w:val="none"/>
          <w:u w:val="none"/>
          <w:shd w:val="clear" w:fill="FFFFFF"/>
        </w:rPr>
        <w:fldChar w:fldCharType="begin"/>
      </w:r>
      <w:r>
        <w:rPr>
          <w:rFonts w:ascii="微软雅黑" w:hAnsi="微软雅黑" w:eastAsia="微软雅黑" w:cs="微软雅黑"/>
          <w:i w:val="0"/>
          <w:iCs w:val="0"/>
          <w:caps w:val="0"/>
          <w:color w:val="333333"/>
          <w:spacing w:val="0"/>
          <w:sz w:val="24"/>
          <w:szCs w:val="24"/>
          <w:highlight w:val="none"/>
          <w:u w:val="none"/>
          <w:shd w:val="clear" w:fill="FFFFFF"/>
        </w:rPr>
        <w:instrText xml:space="preserve"> HYPERLINK "http://jstz.ezhou.gov.cn/" </w:instrText>
      </w:r>
      <w:r>
        <w:rPr>
          <w:rFonts w:ascii="微软雅黑" w:hAnsi="微软雅黑" w:eastAsia="微软雅黑" w:cs="微软雅黑"/>
          <w:i w:val="0"/>
          <w:iCs w:val="0"/>
          <w:caps w:val="0"/>
          <w:color w:val="333333"/>
          <w:spacing w:val="0"/>
          <w:sz w:val="24"/>
          <w:szCs w:val="24"/>
          <w:highlight w:val="none"/>
          <w:u w:val="none"/>
          <w:shd w:val="clear" w:fill="FFFFFF"/>
        </w:rPr>
        <w:fldChar w:fldCharType="separate"/>
      </w:r>
      <w:r>
        <w:rPr>
          <w:rStyle w:val="19"/>
          <w:rFonts w:hint="eastAsia" w:ascii="宋体" w:hAnsi="宋体" w:eastAsia="宋体" w:cs="宋体"/>
          <w:i w:val="0"/>
          <w:iCs w:val="0"/>
          <w:caps w:val="0"/>
          <w:color w:val="333333"/>
          <w:spacing w:val="0"/>
          <w:sz w:val="24"/>
          <w:szCs w:val="24"/>
          <w:highlight w:val="none"/>
          <w:u w:val="none"/>
          <w:shd w:val="clear" w:fill="FFFFFF"/>
        </w:rPr>
        <w:t>鄂州市城市发展投资控股集团有限公司 (http://hbezct.com/)</w:t>
      </w:r>
      <w:r>
        <w:rPr>
          <w:rFonts w:hint="eastAsia" w:ascii="微软雅黑" w:hAnsi="微软雅黑" w:eastAsia="微软雅黑" w:cs="微软雅黑"/>
          <w:i w:val="0"/>
          <w:iCs w:val="0"/>
          <w:caps w:val="0"/>
          <w:color w:val="333333"/>
          <w:spacing w:val="0"/>
          <w:sz w:val="24"/>
          <w:szCs w:val="24"/>
          <w:highlight w:val="none"/>
          <w:u w:val="none"/>
          <w:shd w:val="clear" w:fill="FFFFFF"/>
        </w:rPr>
        <w:fldChar w:fldCharType="end"/>
      </w:r>
      <w:r>
        <w:rPr>
          <w:rFonts w:hint="eastAsia" w:ascii="宋体" w:hAnsi="宋体" w:cs="宋体"/>
          <w:sz w:val="24"/>
          <w:szCs w:val="24"/>
          <w:highlight w:val="none"/>
        </w:rPr>
        <w:t>网</w:t>
      </w:r>
      <w:r>
        <w:rPr>
          <w:rFonts w:hint="eastAsia" w:ascii="宋体" w:hAnsi="宋体" w:cs="宋体"/>
          <w:sz w:val="24"/>
          <w:szCs w:val="24"/>
        </w:rPr>
        <w:t>站上发布</w:t>
      </w:r>
    </w:p>
    <w:p>
      <w:pPr>
        <w:numPr>
          <w:ilvl w:val="0"/>
          <w:numId w:val="2"/>
        </w:numPr>
        <w:spacing w:line="500" w:lineRule="exact"/>
        <w:ind w:firstLine="480" w:firstLineChars="200"/>
        <w:jc w:val="left"/>
        <w:rPr>
          <w:rFonts w:ascii="宋体" w:hAnsi="宋体" w:cs="宋体"/>
          <w:sz w:val="24"/>
          <w:szCs w:val="24"/>
        </w:rPr>
      </w:pPr>
      <w:r>
        <w:rPr>
          <w:rFonts w:hint="eastAsia" w:ascii="宋体" w:hAnsi="宋体" w:cs="宋体"/>
          <w:sz w:val="24"/>
          <w:szCs w:val="24"/>
        </w:rPr>
        <w:t>联系人及电话</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遴选人：鄂州市城市发展投资控股集团有限公司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地址:鄂州市鄂城区凤凰街道滨湖南路6</w:t>
      </w:r>
      <w:r>
        <w:rPr>
          <w:rFonts w:ascii="宋体" w:hAnsi="宋体" w:cs="宋体"/>
          <w:sz w:val="24"/>
          <w:szCs w:val="24"/>
        </w:rPr>
        <w:t>2</w:t>
      </w:r>
      <w:r>
        <w:rPr>
          <w:rFonts w:hint="eastAsia" w:ascii="宋体" w:hAnsi="宋体" w:cs="宋体"/>
          <w:sz w:val="24"/>
          <w:szCs w:val="24"/>
        </w:rPr>
        <w:t>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 系 人：叶部长</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联系电话：1</w:t>
      </w:r>
      <w:r>
        <w:rPr>
          <w:rFonts w:ascii="宋体" w:hAnsi="宋体" w:cs="宋体"/>
          <w:sz w:val="24"/>
          <w:szCs w:val="24"/>
        </w:rPr>
        <w:t>8808682800</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r>
        <w:t xml:space="preserve"> </w:t>
      </w:r>
    </w:p>
    <w:p>
      <w:pPr>
        <w:pStyle w:val="3"/>
        <w:spacing w:before="0" w:after="0" w:line="360" w:lineRule="auto"/>
        <w:jc w:val="center"/>
        <w:rPr>
          <w:rFonts w:hint="eastAsia" w:ascii="����" w:hAnsi="����"/>
          <w:color w:val="000000"/>
          <w:kern w:val="0"/>
        </w:rPr>
      </w:pPr>
      <w:r>
        <w:rPr>
          <w:rFonts w:ascii="����" w:hAnsi="����"/>
          <w:color w:val="000000"/>
          <w:kern w:val="0"/>
        </w:rPr>
        <w:t xml:space="preserve">  </w:t>
      </w: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rPr>
          <w:rFonts w:hint="eastAsia" w:ascii="����" w:hAnsi="����"/>
          <w:b/>
          <w:bCs/>
          <w:color w:val="000000"/>
          <w:kern w:val="0"/>
        </w:rPr>
      </w:pPr>
    </w:p>
    <w:p>
      <w:pPr>
        <w:pStyle w:val="2"/>
      </w:pPr>
    </w:p>
    <w:p>
      <w:pPr>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2"/>
        <w:rPr>
          <w:rFonts w:hint="eastAsia" w:ascii="����" w:hAnsi="����"/>
          <w:b/>
          <w:bCs/>
          <w:color w:val="000000"/>
          <w:kern w:val="0"/>
        </w:rPr>
      </w:pPr>
    </w:p>
    <w:p>
      <w:pPr>
        <w:pStyle w:val="3"/>
        <w:spacing w:before="260" w:after="260" w:line="500" w:lineRule="exact"/>
        <w:jc w:val="center"/>
        <w:rPr>
          <w:rFonts w:ascii="宋体" w:hAnsi="宋体"/>
        </w:rPr>
      </w:pPr>
      <w:r>
        <w:rPr>
          <w:rFonts w:hint="eastAsia" w:ascii="宋体" w:hAnsi="宋体"/>
        </w:rPr>
        <w:t xml:space="preserve">第二章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一、说明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（一）适用范围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1、本章内容适用于本遴选文件项目内容中所述的遴选活动。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（二）定义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1、“遴选人”是指：鄂州市城市发展投资控股集团有限公司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（三）日期、时间、计量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二、相关费用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三、遴选文件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（一）遴选文件的构成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1、遴选文件由下列文件以及在遴选过程中发出的澄清更正文件组成：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遴选公告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 项目要求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 评审方法及标准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（6） 响应文件格式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（7） 在遴选过程中由遴选人发出的澄清更正文件等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（二）遴选文件的澄清更正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 四、响应文件的编制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（一）响应文件的语言和计量单位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（二）响应文件的编制与签署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2、申请人应当按照遴选文件要求编制响应文件，并根据</w:t>
      </w:r>
      <w:r>
        <w:rPr>
          <w:rFonts w:hint="eastAsia" w:ascii="宋体" w:hAnsi="宋体" w:cs="宋体"/>
          <w:sz w:val="24"/>
          <w:szCs w:val="24"/>
        </w:rPr>
        <w:t>自己</w:t>
      </w:r>
      <w:r>
        <w:rPr>
          <w:rFonts w:ascii="宋体" w:hAnsi="宋体" w:cs="宋体"/>
          <w:sz w:val="24"/>
          <w:szCs w:val="24"/>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纸打印或用不退色墨水书写，响应文件要求签名的由法定代表人或经其正式授权的代表签字或签章，要求盖章处须加盖申请人公章。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4、响应文件的副本可采用正本的复印件。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（三）响应文件的构成与份数 </w:t>
      </w:r>
    </w:p>
    <w:p>
      <w:pPr>
        <w:spacing w:line="500" w:lineRule="exact"/>
        <w:ind w:firstLine="480" w:firstLineChars="200"/>
        <w:jc w:val="left"/>
        <w:rPr>
          <w:rFonts w:ascii="宋体" w:hAnsi="宋体" w:cs="宋体"/>
          <w:sz w:val="24"/>
          <w:szCs w:val="24"/>
        </w:rPr>
      </w:pPr>
      <w:r>
        <w:rPr>
          <w:rFonts w:ascii="宋体" w:hAnsi="宋体" w:cs="宋体"/>
          <w:sz w:val="24"/>
          <w:szCs w:val="24"/>
        </w:rPr>
        <w:t>1、响应文件</w:t>
      </w:r>
      <w:r>
        <w:rPr>
          <w:rFonts w:hint="eastAsia" w:ascii="宋体" w:hAnsi="宋体" w:cs="宋体"/>
          <w:sz w:val="24"/>
          <w:szCs w:val="24"/>
        </w:rPr>
        <w:t>格式详见第六章响应文件格式</w:t>
      </w:r>
    </w:p>
    <w:p>
      <w:pPr>
        <w:spacing w:line="500" w:lineRule="exact"/>
        <w:ind w:firstLine="480" w:firstLineChars="200"/>
        <w:jc w:val="left"/>
        <w:rPr>
          <w:rFonts w:ascii="宋体" w:hAnsi="宋体" w:cs="宋体"/>
          <w:sz w:val="24"/>
          <w:szCs w:val="24"/>
        </w:rPr>
      </w:pPr>
      <w:r>
        <w:rPr>
          <w:rFonts w:ascii="宋体" w:hAnsi="宋体" w:cs="宋体"/>
          <w:sz w:val="24"/>
          <w:szCs w:val="24"/>
        </w:rPr>
        <w:t>2、响应文件纸质版一式</w:t>
      </w:r>
      <w:r>
        <w:rPr>
          <w:rFonts w:hint="eastAsia" w:ascii="宋体" w:hAnsi="宋体" w:cs="宋体"/>
          <w:sz w:val="24"/>
          <w:szCs w:val="24"/>
        </w:rPr>
        <w:t>三</w:t>
      </w:r>
      <w:r>
        <w:rPr>
          <w:rFonts w:ascii="宋体" w:hAnsi="宋体" w:cs="宋体"/>
          <w:sz w:val="24"/>
          <w:szCs w:val="24"/>
        </w:rPr>
        <w:t>份，其中正本一份，副本</w:t>
      </w:r>
      <w:r>
        <w:rPr>
          <w:rFonts w:hint="eastAsia" w:ascii="宋体" w:hAnsi="宋体" w:cs="宋体"/>
          <w:sz w:val="24"/>
          <w:szCs w:val="24"/>
        </w:rPr>
        <w:t>贰</w:t>
      </w:r>
      <w:r>
        <w:rPr>
          <w:rFonts w:ascii="宋体" w:hAnsi="宋体" w:cs="宋体"/>
          <w:sz w:val="24"/>
          <w:szCs w:val="24"/>
        </w:rPr>
        <w:t xml:space="preserve">份；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（四）响应方案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（五）响应文件的密封和标记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rPr>
      </w:pPr>
      <w:r>
        <w:rPr>
          <w:rFonts w:ascii="宋体" w:hAnsi="宋体" w:cs="宋体"/>
          <w:sz w:val="24"/>
          <w:szCs w:val="24"/>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00" w:lineRule="exact"/>
              <w:jc w:val="center"/>
              <w:rPr>
                <w:rFonts w:ascii="宋体" w:hAnsi="宋体" w:cs="宋体"/>
                <w:sz w:val="24"/>
                <w:szCs w:val="24"/>
              </w:rPr>
            </w:pPr>
            <w:r>
              <w:rPr>
                <w:rFonts w:ascii="宋体" w:hAnsi="宋体" w:cs="宋体"/>
                <w:sz w:val="24"/>
                <w:szCs w:val="24"/>
              </w:rPr>
              <w:t>正本/副本/开标信封</w:t>
            </w:r>
          </w:p>
          <w:p>
            <w:pPr>
              <w:spacing w:line="500" w:lineRule="exact"/>
              <w:jc w:val="left"/>
              <w:rPr>
                <w:rFonts w:ascii="宋体" w:hAnsi="宋体" w:cs="宋体"/>
                <w:sz w:val="24"/>
                <w:szCs w:val="24"/>
              </w:rPr>
            </w:pPr>
            <w:r>
              <w:rPr>
                <w:rFonts w:ascii="宋体" w:hAnsi="宋体" w:cs="宋体"/>
                <w:sz w:val="24"/>
                <w:szCs w:val="24"/>
              </w:rPr>
              <w:t xml:space="preserve">项目名称： </w:t>
            </w:r>
          </w:p>
          <w:p>
            <w:pPr>
              <w:spacing w:line="500" w:lineRule="exact"/>
              <w:jc w:val="left"/>
              <w:rPr>
                <w:rFonts w:ascii="宋体" w:hAnsi="宋体" w:cs="宋体"/>
                <w:sz w:val="24"/>
                <w:szCs w:val="24"/>
              </w:rPr>
            </w:pPr>
            <w:r>
              <w:rPr>
                <w:rFonts w:ascii="宋体" w:hAnsi="宋体" w:cs="宋体"/>
                <w:sz w:val="24"/>
                <w:szCs w:val="24"/>
              </w:rPr>
              <w:t xml:space="preserve">申请人名称： </w:t>
            </w:r>
          </w:p>
          <w:p>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pPr>
        <w:spacing w:line="500" w:lineRule="exact"/>
        <w:ind w:firstLine="480" w:firstLineChars="200"/>
        <w:jc w:val="left"/>
        <w:rPr>
          <w:rFonts w:ascii="宋体" w:hAnsi="宋体" w:cs="宋体"/>
          <w:sz w:val="24"/>
          <w:szCs w:val="24"/>
        </w:rPr>
      </w:pPr>
      <w:bookmarkStart w:id="1" w:name="_Toc450557041"/>
      <w:bookmarkStart w:id="2" w:name="_Toc31990"/>
      <w:bookmarkStart w:id="3" w:name="_Toc57643893"/>
      <w:bookmarkStart w:id="4" w:name="_Toc58232752"/>
      <w:bookmarkStart w:id="5" w:name="_Toc59271279"/>
      <w:bookmarkStart w:id="6" w:name="_Toc57560596"/>
      <w:bookmarkStart w:id="7" w:name="_Toc58655986"/>
      <w:bookmarkStart w:id="8" w:name="_Toc108597122"/>
      <w:r>
        <w:rPr>
          <w:rFonts w:hint="eastAsia" w:ascii="宋体" w:hAnsi="宋体" w:cs="宋体"/>
          <w:sz w:val="24"/>
          <w:szCs w:val="24"/>
        </w:rPr>
        <w:t>五、</w:t>
      </w:r>
      <w:r>
        <w:rPr>
          <w:rFonts w:ascii="宋体" w:hAnsi="宋体" w:cs="宋体"/>
          <w:sz w:val="24"/>
          <w:szCs w:val="24"/>
        </w:rPr>
        <w:t>响应文件的递交</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2、申请人应递交的密封文件有：正本、副本。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3、遴选人将拒绝以下情况的响应文件：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（1）迟于提交申请截止时间递交的。 </w:t>
      </w:r>
    </w:p>
    <w:p>
      <w:pPr>
        <w:spacing w:line="500" w:lineRule="exact"/>
        <w:ind w:firstLine="480" w:firstLineChars="200"/>
        <w:jc w:val="left"/>
        <w:rPr>
          <w:rFonts w:ascii="宋体" w:hAnsi="宋体" w:cs="宋体"/>
          <w:sz w:val="24"/>
          <w:szCs w:val="24"/>
        </w:rPr>
      </w:pPr>
      <w:r>
        <w:rPr>
          <w:rFonts w:ascii="宋体" w:hAnsi="宋体" w:cs="宋体"/>
          <w:sz w:val="24"/>
          <w:szCs w:val="24"/>
        </w:rPr>
        <w:t>（2）未密封的响应文件。</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（二）响应文件的修改和撤回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3、提交响应截止时间之后，申请人不得撤销响应文件。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六、遴选活动解释权 </w:t>
      </w:r>
    </w:p>
    <w:p>
      <w:pPr>
        <w:spacing w:line="500" w:lineRule="exact"/>
        <w:ind w:firstLine="480" w:firstLineChars="200"/>
        <w:jc w:val="left"/>
        <w:rPr>
          <w:rFonts w:ascii="宋体" w:hAnsi="宋体" w:cs="宋体"/>
          <w:sz w:val="24"/>
          <w:szCs w:val="24"/>
        </w:rPr>
      </w:pPr>
      <w:r>
        <w:rPr>
          <w:rFonts w:ascii="宋体" w:hAnsi="宋体" w:cs="宋体"/>
          <w:sz w:val="24"/>
          <w:szCs w:val="24"/>
        </w:rPr>
        <w:t>1、本遴选文件及活动过程解释权均归</w:t>
      </w:r>
      <w:r>
        <w:rPr>
          <w:rFonts w:hint="eastAsia" w:ascii="宋体" w:hAnsi="宋体" w:cs="宋体"/>
          <w:sz w:val="24"/>
          <w:szCs w:val="24"/>
        </w:rPr>
        <w:t>遴选人</w:t>
      </w:r>
      <w:r>
        <w:rPr>
          <w:rFonts w:ascii="宋体" w:hAnsi="宋体" w:cs="宋体"/>
          <w:sz w:val="24"/>
          <w:szCs w:val="24"/>
        </w:rPr>
        <w:t xml:space="preserve">所有。 </w:t>
      </w:r>
    </w:p>
    <w:p>
      <w:pPr>
        <w:spacing w:line="500" w:lineRule="exact"/>
        <w:ind w:firstLine="480" w:firstLineChars="20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26"/>
        <w:ind w:firstLine="480"/>
        <w:rPr>
          <w:rFonts w:ascii="宋体" w:hAnsi="宋体"/>
          <w:szCs w:val="24"/>
        </w:rPr>
      </w:pPr>
    </w:p>
    <w:p>
      <w:pPr>
        <w:pStyle w:val="3"/>
        <w:spacing w:before="260" w:after="260" w:line="500" w:lineRule="exact"/>
        <w:jc w:val="center"/>
        <w:rPr>
          <w:rFonts w:ascii="宋体" w:hAnsi="宋体"/>
          <w:highlight w:val="none"/>
        </w:rPr>
      </w:pPr>
      <w:r>
        <w:rPr>
          <w:rFonts w:hint="eastAsia" w:ascii="宋体" w:hAnsi="宋体"/>
          <w:highlight w:val="none"/>
        </w:rPr>
        <w:t>第三章  项目要求</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一、项目名称</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玻璃纤维增强塑料电缆导管项目可行性研究报告</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二、服务范围及服务内容</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1、服务范围：编制玻璃纤维增强塑料电缆导管项目可行性研究报告</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2、服务内容：</w:t>
      </w:r>
    </w:p>
    <w:p>
      <w:pPr>
        <w:spacing w:line="480" w:lineRule="exact"/>
        <w:ind w:left="420" w:leftChars="200"/>
        <w:jc w:val="left"/>
        <w:rPr>
          <w:rFonts w:ascii="宋体" w:hAnsi="宋体" w:cs="宋体"/>
          <w:sz w:val="24"/>
          <w:szCs w:val="24"/>
        </w:rPr>
      </w:pPr>
      <w:r>
        <w:rPr>
          <w:rFonts w:hint="eastAsia" w:ascii="宋体" w:hAnsi="宋体" w:cs="宋体"/>
          <w:sz w:val="24"/>
          <w:szCs w:val="24"/>
        </w:rPr>
        <w:t>（1）现场调研工作，根据资料清单收集资料，合作双方沟通，进一步理解项目情况，确认股份占比等核心内容；</w:t>
      </w:r>
    </w:p>
    <w:p>
      <w:pPr>
        <w:spacing w:line="480" w:lineRule="exact"/>
        <w:ind w:left="420" w:leftChars="200"/>
        <w:jc w:val="left"/>
        <w:rPr>
          <w:rFonts w:hint="eastAsia" w:ascii="宋体" w:hAnsi="宋体" w:cs="宋体"/>
          <w:sz w:val="24"/>
          <w:szCs w:val="24"/>
        </w:rPr>
      </w:pPr>
      <w:r>
        <w:rPr>
          <w:rFonts w:hint="eastAsia" w:ascii="宋体" w:hAnsi="宋体" w:cs="宋体"/>
          <w:sz w:val="24"/>
          <w:szCs w:val="24"/>
        </w:rPr>
        <w:t>（2）根据项目情况组建工作小组，对本项目的</w:t>
      </w:r>
      <w:r>
        <w:rPr>
          <w:rFonts w:hint="eastAsia" w:ascii="宋体" w:hAnsi="宋体" w:cs="宋体"/>
          <w:sz w:val="24"/>
          <w:szCs w:val="24"/>
          <w:lang w:val="en-US" w:eastAsia="zh-CN"/>
        </w:rPr>
        <w:t>必要性、市场和行业</w:t>
      </w:r>
      <w:r>
        <w:rPr>
          <w:rFonts w:hint="eastAsia" w:ascii="宋体" w:hAnsi="宋体" w:cs="宋体"/>
          <w:sz w:val="24"/>
          <w:szCs w:val="24"/>
        </w:rPr>
        <w:t>分析、</w:t>
      </w:r>
      <w:r>
        <w:rPr>
          <w:rFonts w:hint="eastAsia" w:ascii="宋体" w:hAnsi="宋体" w:cs="宋体"/>
          <w:sz w:val="24"/>
          <w:szCs w:val="24"/>
          <w:lang w:val="en-US" w:eastAsia="zh-CN"/>
        </w:rPr>
        <w:t>合作基本原则、合资方式、股权设置、合资企业治理结构、合资企业运营机制、经济效益测算</w:t>
      </w:r>
      <w:r>
        <w:rPr>
          <w:rFonts w:hint="eastAsia" w:ascii="宋体" w:hAnsi="宋体" w:cs="宋体"/>
          <w:sz w:val="24"/>
          <w:szCs w:val="24"/>
        </w:rPr>
        <w:t>、投融资模式、财务评价</w:t>
      </w:r>
      <w:r>
        <w:rPr>
          <w:rFonts w:hint="eastAsia" w:ascii="宋体" w:hAnsi="宋体" w:cs="宋体"/>
          <w:sz w:val="24"/>
          <w:szCs w:val="24"/>
          <w:lang w:eastAsia="zh-CN"/>
        </w:rPr>
        <w:t>、</w:t>
      </w:r>
      <w:r>
        <w:rPr>
          <w:rFonts w:hint="eastAsia" w:ascii="宋体" w:hAnsi="宋体" w:cs="宋体"/>
          <w:sz w:val="24"/>
          <w:szCs w:val="24"/>
          <w:lang w:val="en-US" w:eastAsia="zh-CN"/>
        </w:rPr>
        <w:t>风险评估（政策风险、财务风险、法律风险、市场风险等）</w:t>
      </w:r>
      <w:r>
        <w:rPr>
          <w:rFonts w:hint="eastAsia" w:ascii="宋体" w:hAnsi="宋体" w:cs="宋体"/>
          <w:sz w:val="24"/>
          <w:szCs w:val="24"/>
        </w:rPr>
        <w:t>等进行分析、论证；</w:t>
      </w:r>
    </w:p>
    <w:p>
      <w:pPr>
        <w:spacing w:line="480" w:lineRule="exact"/>
        <w:ind w:left="420" w:leftChars="200"/>
        <w:jc w:val="left"/>
        <w:rPr>
          <w:rFonts w:hint="eastAsia" w:ascii="宋体" w:hAnsi="宋体" w:cs="宋体"/>
          <w:sz w:val="24"/>
          <w:szCs w:val="24"/>
          <w:lang w:val="en-US" w:eastAsia="zh-CN"/>
        </w:rPr>
      </w:pPr>
      <w:r>
        <w:rPr>
          <w:rFonts w:hint="eastAsia" w:ascii="宋体" w:hAnsi="宋体" w:cs="宋体"/>
          <w:sz w:val="24"/>
          <w:szCs w:val="24"/>
          <w:lang w:val="en-US" w:eastAsia="zh-CN"/>
        </w:rPr>
        <w:t>（3）编制本项目的《可行性研究报告》初稿WORD版本，根据内部审核意见修改后提交合作双方；</w:t>
      </w:r>
    </w:p>
    <w:p>
      <w:pPr>
        <w:spacing w:line="480" w:lineRule="exact"/>
        <w:ind w:left="420" w:leftChars="200"/>
        <w:jc w:val="left"/>
        <w:rPr>
          <w:rFonts w:ascii="宋体" w:hAnsi="宋体" w:cs="宋体"/>
          <w:sz w:val="24"/>
          <w:szCs w:val="24"/>
        </w:rPr>
      </w:pPr>
      <w:r>
        <w:rPr>
          <w:rFonts w:hint="eastAsia" w:ascii="宋体" w:hAnsi="宋体" w:cs="宋体"/>
          <w:sz w:val="24"/>
          <w:szCs w:val="24"/>
        </w:rPr>
        <w:t>（4）根据合作双方意见修改可研报告，编制PPT汇报版本；</w:t>
      </w:r>
    </w:p>
    <w:p>
      <w:pPr>
        <w:spacing w:line="480" w:lineRule="exact"/>
        <w:ind w:left="420" w:leftChars="200"/>
        <w:jc w:val="left"/>
        <w:rPr>
          <w:rFonts w:ascii="宋体" w:hAnsi="宋体" w:cs="宋体"/>
          <w:sz w:val="24"/>
          <w:szCs w:val="24"/>
        </w:rPr>
      </w:pPr>
      <w:r>
        <w:rPr>
          <w:rFonts w:hint="eastAsia" w:ascii="宋体" w:hAnsi="宋体" w:cs="宋体"/>
          <w:sz w:val="24"/>
          <w:szCs w:val="24"/>
        </w:rPr>
        <w:t>（5）协助甲方在集团内部、国资委沟通汇报；</w:t>
      </w:r>
    </w:p>
    <w:p>
      <w:pPr>
        <w:spacing w:line="480" w:lineRule="exact"/>
        <w:ind w:left="420" w:leftChars="200"/>
        <w:jc w:val="left"/>
        <w:rPr>
          <w:rFonts w:hint="eastAsia" w:ascii="宋体" w:hAnsi="宋体" w:eastAsia="宋体" w:cs="宋体"/>
          <w:sz w:val="24"/>
          <w:szCs w:val="24"/>
          <w:lang w:eastAsia="zh-CN"/>
        </w:rPr>
      </w:pPr>
      <w:r>
        <w:rPr>
          <w:rFonts w:hint="eastAsia" w:ascii="宋体" w:hAnsi="宋体" w:cs="宋体"/>
          <w:sz w:val="24"/>
          <w:szCs w:val="24"/>
        </w:rPr>
        <w:t>（6）提交可研终稿纸质版和PDF版本</w:t>
      </w:r>
      <w:r>
        <w:rPr>
          <w:rFonts w:hint="eastAsia" w:ascii="宋体" w:hAnsi="宋体" w:cs="宋体"/>
          <w:sz w:val="24"/>
          <w:szCs w:val="24"/>
          <w:lang w:eastAsia="zh-CN"/>
        </w:rPr>
        <w:t>；</w:t>
      </w:r>
    </w:p>
    <w:p>
      <w:pPr>
        <w:spacing w:line="480" w:lineRule="exact"/>
        <w:ind w:left="420" w:leftChars="200"/>
        <w:jc w:val="left"/>
        <w:rPr>
          <w:rFonts w:ascii="宋体" w:hAnsi="宋体" w:cs="宋体"/>
          <w:sz w:val="24"/>
          <w:szCs w:val="24"/>
        </w:rPr>
      </w:pPr>
      <w:r>
        <w:rPr>
          <w:rFonts w:hint="eastAsia" w:ascii="宋体" w:hAnsi="宋体" w:cs="宋体"/>
          <w:sz w:val="24"/>
          <w:szCs w:val="24"/>
        </w:rPr>
        <w:t xml:space="preserve">（7）根据相关技术规范要求，按时、保质完成项目可行性研究报告的编制工作； </w:t>
      </w:r>
      <w:r>
        <w:rPr>
          <w:rFonts w:hint="eastAsia" w:ascii="宋体" w:hAnsi="宋体" w:cs="宋体"/>
          <w:sz w:val="24"/>
          <w:szCs w:val="24"/>
        </w:rPr>
        <w:cr/>
      </w:r>
      <w:r>
        <w:rPr>
          <w:rFonts w:hint="eastAsia" w:ascii="宋体" w:hAnsi="宋体" w:cs="宋体"/>
          <w:sz w:val="24"/>
          <w:szCs w:val="24"/>
        </w:rPr>
        <w:t>（8)保证报告达到相应的编制深度及质量要求，并依据(甲方、专家评审、主管部门)意见，对报告进行调整、修改、完善，直至报告符合要求；</w:t>
      </w:r>
      <w:r>
        <w:rPr>
          <w:rFonts w:hint="eastAsia" w:ascii="宋体" w:hAnsi="宋体" w:cs="宋体"/>
          <w:sz w:val="24"/>
          <w:szCs w:val="24"/>
        </w:rPr>
        <w:cr/>
      </w:r>
      <w:r>
        <w:rPr>
          <w:rFonts w:hint="eastAsia" w:ascii="宋体" w:hAnsi="宋体" w:cs="宋体"/>
          <w:sz w:val="24"/>
          <w:szCs w:val="24"/>
        </w:rPr>
        <w:t>（9）在履行本合同期间，应遵循独立、科学、公正的原则，维护各方合法利益，认真、细致、周到地进行服务工作。</w:t>
      </w:r>
    </w:p>
    <w:p>
      <w:pPr>
        <w:spacing w:line="480" w:lineRule="exact"/>
        <w:ind w:left="420" w:leftChars="200"/>
        <w:jc w:val="left"/>
        <w:rPr>
          <w:rFonts w:ascii="宋体" w:hAnsi="宋体" w:cs="宋体"/>
          <w:sz w:val="24"/>
          <w:szCs w:val="24"/>
        </w:rPr>
      </w:pPr>
      <w:r>
        <w:rPr>
          <w:rFonts w:hint="eastAsia" w:ascii="宋体" w:hAnsi="宋体" w:cs="宋体"/>
          <w:sz w:val="24"/>
          <w:szCs w:val="24"/>
        </w:rPr>
        <w:t>三、其他要求</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1、服务地点：遴选人指定地点。</w:t>
      </w:r>
    </w:p>
    <w:p>
      <w:pPr>
        <w:spacing w:line="48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2、服务期限：合同签订之日至可行性研究报告终稿出具</w:t>
      </w:r>
      <w:r>
        <w:rPr>
          <w:rFonts w:hint="eastAsia" w:ascii="宋体" w:hAnsi="宋体" w:cs="宋体"/>
          <w:sz w:val="24"/>
          <w:szCs w:val="24"/>
          <w:lang w:eastAsia="zh-CN"/>
        </w:rPr>
        <w:t>。</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3、付款方式：合同另行约定。</w:t>
      </w: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spacing w:before="260" w:after="260" w:line="500" w:lineRule="exact"/>
        <w:jc w:val="center"/>
        <w:rPr>
          <w:rFonts w:ascii="宋体" w:hAnsi="宋体"/>
        </w:rPr>
      </w:pPr>
      <w:r>
        <w:rPr>
          <w:rFonts w:hint="eastAsia" w:ascii="宋体" w:hAnsi="宋体"/>
        </w:rPr>
        <w:t>第四章  评标办法</w:t>
      </w:r>
      <w:bookmarkEnd w:id="1"/>
      <w:r>
        <w:rPr>
          <w:rFonts w:hint="eastAsia" w:ascii="宋体" w:hAnsi="宋体"/>
        </w:rPr>
        <w:t>、步骤及标准</w:t>
      </w:r>
    </w:p>
    <w:bookmarkEnd w:id="2"/>
    <w:p>
      <w:pPr>
        <w:spacing w:line="500" w:lineRule="exact"/>
        <w:ind w:firstLine="480" w:firstLineChars="200"/>
        <w:jc w:val="left"/>
        <w:rPr>
          <w:rFonts w:ascii="宋体" w:hAnsi="宋体" w:cs="宋体"/>
          <w:sz w:val="24"/>
          <w:szCs w:val="24"/>
        </w:rPr>
      </w:pPr>
      <w:r>
        <w:rPr>
          <w:rFonts w:hint="eastAsia" w:ascii="宋体" w:hAnsi="宋体" w:cs="宋体"/>
          <w:sz w:val="24"/>
          <w:szCs w:val="24"/>
        </w:rPr>
        <w:t>一、评审方法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二、评审委员会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1、评审委员会组成：本次遴选的评审委员会成员为3人及以上单数，由遴选人组建成立。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3、职责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三、评审步骤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（1）评审委员会依法对申请人进行资格性审查；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（2）资格性审查内容详见《资格性审查表》；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（3）未通过资格性审查的申请人，不进入符合性审查。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（2）符合性审查内容详见《符合性审查表》；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（3）符合性审查合格的响应文件才能进入综合评分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3.1 </w:t>
      </w:r>
      <w:r>
        <w:rPr>
          <w:rFonts w:ascii="宋体" w:hAnsi="宋体" w:cs="宋体"/>
          <w:sz w:val="24"/>
          <w:szCs w:val="24"/>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592"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30" w:type="dxa"/>
            <w:vAlign w:val="center"/>
          </w:tcPr>
          <w:p>
            <w:pPr>
              <w:spacing w:line="500" w:lineRule="exact"/>
              <w:jc w:val="center"/>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592" w:type="dxa"/>
          </w:tcPr>
          <w:p>
            <w:pPr>
              <w:spacing w:line="500" w:lineRule="exact"/>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jc w:val="left"/>
              <w:rPr>
                <w:rFonts w:ascii="宋体" w:hAnsi="宋体" w:cs="宋体"/>
                <w:sz w:val="24"/>
                <w:szCs w:val="24"/>
              </w:rPr>
            </w:pPr>
            <w:r>
              <w:rPr>
                <w:rFonts w:hint="eastAsia" w:ascii="宋体" w:hAnsi="宋体" w:cs="宋体"/>
                <w:sz w:val="24"/>
                <w:szCs w:val="24"/>
              </w:rPr>
              <w:t xml:space="preserve">（2）具有良好的商业信誉和健全的财务会计制度（提供经会计师事务所审计的 2020或2021年财务状况报告复印件或银行出具的资信证明复印件）； </w:t>
            </w:r>
          </w:p>
          <w:p>
            <w:pPr>
              <w:spacing w:line="500" w:lineRule="exact"/>
              <w:jc w:val="left"/>
              <w:rPr>
                <w:rFonts w:ascii="宋体" w:hAnsi="宋体" w:cs="宋体"/>
                <w:sz w:val="24"/>
                <w:szCs w:val="24"/>
              </w:rPr>
            </w:pPr>
            <w:r>
              <w:rPr>
                <w:rFonts w:hint="eastAsia" w:ascii="宋体" w:hAnsi="宋体" w:cs="宋体"/>
                <w:sz w:val="24"/>
                <w:szCs w:val="24"/>
              </w:rPr>
              <w:t xml:space="preserve">（3）具有履行合同所必需的设备和专业技术能力（提供申明函）； </w:t>
            </w:r>
          </w:p>
          <w:p>
            <w:pPr>
              <w:spacing w:line="500" w:lineRule="exact"/>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tc>
        <w:tc>
          <w:tcPr>
            <w:tcW w:w="1230"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tc>
        <w:tc>
          <w:tcPr>
            <w:tcW w:w="1230" w:type="dxa"/>
          </w:tcPr>
          <w:p>
            <w:pPr>
              <w:spacing w:line="500" w:lineRule="exact"/>
              <w:jc w:val="left"/>
              <w:rPr>
                <w:rFonts w:ascii="宋体" w:hAnsi="宋体" w:cs="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7592" w:type="dxa"/>
          </w:tcPr>
          <w:p>
            <w:pPr>
              <w:spacing w:line="500" w:lineRule="exact"/>
              <w:jc w:val="left"/>
              <w:rPr>
                <w:rFonts w:ascii="宋体" w:hAnsi="宋体" w:cs="宋体"/>
                <w:sz w:val="24"/>
                <w:szCs w:val="24"/>
                <w:highlight w:val="none"/>
              </w:rPr>
            </w:pPr>
            <w:r>
              <w:rPr>
                <w:rFonts w:hint="eastAsia" w:ascii="宋体" w:hAnsi="宋体" w:cs="宋体"/>
                <w:sz w:val="24"/>
                <w:szCs w:val="24"/>
                <w:highlight w:val="none"/>
              </w:rPr>
              <w:t>3、本项目不接受联合体参加投标，中选人不得分包或转包。</w:t>
            </w:r>
          </w:p>
        </w:tc>
        <w:tc>
          <w:tcPr>
            <w:tcW w:w="1230" w:type="dxa"/>
          </w:tcPr>
          <w:p>
            <w:pPr>
              <w:spacing w:line="500" w:lineRule="exact"/>
              <w:jc w:val="left"/>
              <w:rPr>
                <w:rFonts w:ascii="宋体" w:hAnsi="宋体" w:cs="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592" w:type="dxa"/>
          </w:tcPr>
          <w:p>
            <w:pPr>
              <w:spacing w:line="500" w:lineRule="exact"/>
              <w:jc w:val="left"/>
              <w:rPr>
                <w:rFonts w:ascii="宋体" w:hAnsi="宋体" w:cs="宋体"/>
                <w:sz w:val="24"/>
                <w:szCs w:val="24"/>
              </w:rPr>
            </w:pPr>
          </w:p>
        </w:tc>
        <w:tc>
          <w:tcPr>
            <w:tcW w:w="1230"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3.2 </w:t>
      </w:r>
      <w:r>
        <w:rPr>
          <w:rFonts w:ascii="宋体" w:hAnsi="宋体" w:cs="宋体"/>
          <w:sz w:val="24"/>
          <w:szCs w:val="24"/>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465" w:type="dxa"/>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45" w:type="dxa"/>
          </w:tcPr>
          <w:p>
            <w:pPr>
              <w:spacing w:line="500" w:lineRule="exact"/>
              <w:jc w:val="left"/>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465" w:type="dxa"/>
          </w:tcPr>
          <w:p>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465" w:type="dxa"/>
          </w:tcPr>
          <w:p>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465" w:type="dxa"/>
          </w:tcPr>
          <w:p>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7465" w:type="dxa"/>
          </w:tcPr>
          <w:p>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465" w:type="dxa"/>
          </w:tcPr>
          <w:p>
            <w:pPr>
              <w:spacing w:line="500" w:lineRule="exact"/>
              <w:jc w:val="left"/>
              <w:rPr>
                <w:rFonts w:ascii="宋体" w:hAnsi="宋体" w:cs="宋体"/>
                <w:sz w:val="24"/>
                <w:szCs w:val="24"/>
              </w:rPr>
            </w:pPr>
          </w:p>
        </w:tc>
        <w:tc>
          <w:tcPr>
            <w:tcW w:w="1245" w:type="dxa"/>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w:t>
      </w:r>
      <w:r>
        <w:rPr>
          <w:rFonts w:hint="eastAsia" w:ascii="宋体" w:hAnsi="宋体" w:cs="宋体"/>
          <w:sz w:val="24"/>
          <w:szCs w:val="24"/>
        </w:rPr>
        <w:t>（1）</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3.3评分标准</w:t>
      </w:r>
    </w:p>
    <w:tbl>
      <w:tblPr>
        <w:tblStyle w:val="16"/>
        <w:tblW w:w="1004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9"/>
        <w:gridCol w:w="1230"/>
        <w:gridCol w:w="885"/>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19" w:type="dxa"/>
            <w:gridSpan w:val="2"/>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评分项目</w:t>
            </w:r>
          </w:p>
        </w:tc>
        <w:tc>
          <w:tcPr>
            <w:tcW w:w="885" w:type="dxa"/>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分数（分）</w:t>
            </w:r>
          </w:p>
        </w:tc>
        <w:tc>
          <w:tcPr>
            <w:tcW w:w="6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19" w:type="dxa"/>
            <w:gridSpan w:val="2"/>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分值构成</w:t>
            </w:r>
          </w:p>
        </w:tc>
        <w:tc>
          <w:tcPr>
            <w:tcW w:w="885" w:type="dxa"/>
            <w:tcBorders>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100</w:t>
            </w:r>
          </w:p>
        </w:tc>
        <w:tc>
          <w:tcPr>
            <w:tcW w:w="6840" w:type="dxa"/>
            <w:tcBorders>
              <w:top w:val="single" w:color="auto" w:sz="4" w:space="0"/>
              <w:left w:val="single" w:color="auto" w:sz="4" w:space="0"/>
              <w:bottom w:val="single" w:color="auto" w:sz="4" w:space="0"/>
              <w:right w:val="single" w:color="auto" w:sz="4" w:space="0"/>
            </w:tcBorders>
            <w:vAlign w:val="center"/>
          </w:tcPr>
          <w:p>
            <w:pPr>
              <w:pStyle w:val="8"/>
              <w:spacing w:line="360" w:lineRule="auto"/>
              <w:rPr>
                <w:rFonts w:ascii="宋体" w:hAnsi="宋体" w:cs="宋体"/>
                <w:highlight w:val="none"/>
              </w:rPr>
            </w:pPr>
            <w:r>
              <w:rPr>
                <w:rFonts w:hint="eastAsia" w:ascii="宋体" w:hAnsi="宋体" w:cs="宋体"/>
                <w:highlight w:val="none"/>
              </w:rPr>
              <w:t>报价部分：10分</w:t>
            </w:r>
          </w:p>
          <w:p>
            <w:pPr>
              <w:pStyle w:val="8"/>
              <w:spacing w:line="360" w:lineRule="auto"/>
              <w:rPr>
                <w:rFonts w:ascii="宋体" w:hAnsi="宋体" w:cs="宋体"/>
                <w:highlight w:val="none"/>
              </w:rPr>
            </w:pPr>
            <w:r>
              <w:rPr>
                <w:rFonts w:hint="eastAsia" w:ascii="宋体" w:hAnsi="宋体" w:cs="宋体"/>
                <w:highlight w:val="none"/>
              </w:rPr>
              <w:t>综合部分：40分</w:t>
            </w:r>
          </w:p>
          <w:p>
            <w:pPr>
              <w:pStyle w:val="8"/>
              <w:spacing w:line="360" w:lineRule="auto"/>
              <w:rPr>
                <w:rFonts w:ascii="宋体" w:hAnsi="宋体" w:cs="宋体"/>
                <w:highlight w:val="none"/>
              </w:rPr>
            </w:pPr>
            <w:r>
              <w:rPr>
                <w:rFonts w:hint="eastAsia" w:ascii="宋体" w:hAnsi="宋体" w:cs="宋体"/>
                <w:highlight w:val="none"/>
              </w:rPr>
              <w:t>技术部分：50分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1089"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价格</w:t>
            </w:r>
          </w:p>
          <w:p>
            <w:pPr>
              <w:snapToGrid w:val="0"/>
              <w:spacing w:line="360" w:lineRule="auto"/>
              <w:contextualSpacing/>
              <w:jc w:val="center"/>
              <w:rPr>
                <w:rFonts w:hAnsi="宋体"/>
                <w:kern w:val="0"/>
                <w:sz w:val="24"/>
                <w:highlight w:val="none"/>
              </w:rPr>
            </w:pPr>
            <w:r>
              <w:rPr>
                <w:rFonts w:hint="eastAsia" w:hAnsi="宋体"/>
                <w:kern w:val="0"/>
                <w:sz w:val="24"/>
                <w:highlight w:val="none"/>
              </w:rPr>
              <w:t>评价项</w:t>
            </w:r>
          </w:p>
          <w:p>
            <w:pPr>
              <w:snapToGrid w:val="0"/>
              <w:spacing w:line="360" w:lineRule="auto"/>
              <w:contextualSpacing/>
              <w:jc w:val="center"/>
              <w:rPr>
                <w:rFonts w:hAnsi="宋体"/>
                <w:kern w:val="0"/>
                <w:sz w:val="24"/>
                <w:highlight w:val="none"/>
              </w:rPr>
            </w:pPr>
            <w:r>
              <w:rPr>
                <w:rFonts w:hint="eastAsia" w:hAnsi="宋体"/>
                <w:kern w:val="0"/>
                <w:sz w:val="24"/>
                <w:highlight w:val="none"/>
              </w:rPr>
              <w:t>10分</w:t>
            </w:r>
          </w:p>
        </w:tc>
        <w:tc>
          <w:tcPr>
            <w:tcW w:w="1230"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投标报价</w:t>
            </w:r>
          </w:p>
        </w:tc>
        <w:tc>
          <w:tcPr>
            <w:tcW w:w="885" w:type="dxa"/>
            <w:tcBorders>
              <w:top w:val="single" w:color="auto" w:sz="4" w:space="0"/>
              <w:bottom w:val="single" w:color="auto" w:sz="4" w:space="0"/>
              <w:right w:val="single" w:color="auto" w:sz="4" w:space="0"/>
            </w:tcBorders>
            <w:vAlign w:val="center"/>
          </w:tcPr>
          <w:p>
            <w:pPr>
              <w:snapToGrid w:val="0"/>
              <w:spacing w:line="360" w:lineRule="auto"/>
              <w:contextualSpacing/>
              <w:jc w:val="center"/>
              <w:rPr>
                <w:rFonts w:hAnsi="宋体"/>
                <w:kern w:val="0"/>
                <w:sz w:val="24"/>
                <w:highlight w:val="none"/>
              </w:rPr>
            </w:pPr>
            <w:r>
              <w:rPr>
                <w:rFonts w:hint="eastAsia" w:hAnsi="宋体"/>
                <w:kern w:val="0"/>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cs="宋体"/>
                <w:color w:val="000000"/>
                <w:kern w:val="0"/>
                <w:sz w:val="24"/>
                <w:highlight w:val="none"/>
              </w:rPr>
            </w:pPr>
            <w:r>
              <w:rPr>
                <w:rFonts w:ascii="宋体" w:hAnsi="宋体" w:cs="宋体"/>
                <w:color w:val="000000"/>
                <w:kern w:val="0"/>
                <w:sz w:val="24"/>
                <w:highlight w:val="none"/>
              </w:rPr>
              <w:t>满足</w:t>
            </w:r>
            <w:r>
              <w:rPr>
                <w:rFonts w:hint="eastAsia" w:ascii="宋体" w:hAnsi="宋体" w:cs="宋体"/>
                <w:color w:val="000000"/>
                <w:kern w:val="0"/>
                <w:sz w:val="24"/>
                <w:highlight w:val="none"/>
              </w:rPr>
              <w:t>遴选文件</w:t>
            </w:r>
            <w:r>
              <w:rPr>
                <w:rFonts w:ascii="宋体" w:hAnsi="宋体" w:cs="宋体"/>
                <w:color w:val="000000"/>
                <w:kern w:val="0"/>
                <w:sz w:val="24"/>
                <w:highlight w:val="none"/>
              </w:rPr>
              <w:t>要求且</w:t>
            </w:r>
            <w:r>
              <w:rPr>
                <w:rFonts w:hint="eastAsia" w:ascii="宋体" w:hAnsi="宋体" w:cs="宋体"/>
                <w:color w:val="000000"/>
                <w:kern w:val="0"/>
                <w:sz w:val="24"/>
                <w:highlight w:val="none"/>
              </w:rPr>
              <w:t>投标</w:t>
            </w:r>
            <w:r>
              <w:rPr>
                <w:rFonts w:ascii="宋体" w:hAnsi="宋体" w:cs="宋体"/>
                <w:color w:val="000000"/>
                <w:kern w:val="0"/>
                <w:sz w:val="24"/>
                <w:highlight w:val="none"/>
              </w:rPr>
              <w:t>报价最低的</w:t>
            </w:r>
            <w:r>
              <w:rPr>
                <w:rFonts w:hint="eastAsia" w:ascii="宋体" w:hAnsi="宋体" w:cs="宋体"/>
                <w:color w:val="000000"/>
                <w:kern w:val="0"/>
                <w:sz w:val="24"/>
                <w:highlight w:val="none"/>
              </w:rPr>
              <w:t>申请人</w:t>
            </w:r>
            <w:r>
              <w:rPr>
                <w:rFonts w:ascii="宋体" w:hAnsi="宋体" w:cs="宋体"/>
                <w:color w:val="000000"/>
                <w:kern w:val="0"/>
                <w:sz w:val="24"/>
                <w:highlight w:val="none"/>
              </w:rPr>
              <w:t>的价格为</w:t>
            </w:r>
            <w:r>
              <w:rPr>
                <w:rFonts w:hint="eastAsia" w:ascii="宋体" w:hAnsi="宋体" w:cs="宋体"/>
                <w:color w:val="000000"/>
                <w:kern w:val="0"/>
                <w:sz w:val="24"/>
                <w:highlight w:val="none"/>
              </w:rPr>
              <w:t>评标基准价</w:t>
            </w:r>
            <w:r>
              <w:rPr>
                <w:rFonts w:ascii="宋体" w:hAnsi="宋体" w:cs="宋体"/>
                <w:color w:val="000000"/>
                <w:kern w:val="0"/>
                <w:sz w:val="24"/>
                <w:highlight w:val="none"/>
              </w:rPr>
              <w:t>，其价格分为满分。其他</w:t>
            </w:r>
            <w:r>
              <w:rPr>
                <w:rFonts w:hint="eastAsia" w:ascii="宋体" w:hAnsi="宋体" w:cs="宋体"/>
                <w:color w:val="000000"/>
                <w:kern w:val="0"/>
                <w:sz w:val="24"/>
                <w:highlight w:val="none"/>
              </w:rPr>
              <w:t>申请人</w:t>
            </w:r>
            <w:r>
              <w:rPr>
                <w:rFonts w:ascii="宋体" w:hAnsi="宋体" w:cs="宋体"/>
                <w:color w:val="000000"/>
                <w:kern w:val="0"/>
                <w:sz w:val="24"/>
                <w:highlight w:val="none"/>
              </w:rPr>
              <w:t>的价格分统一按照下列公式计算：</w:t>
            </w:r>
          </w:p>
          <w:p>
            <w:pPr>
              <w:adjustRightInd w:val="0"/>
              <w:snapToGrid w:val="0"/>
              <w:spacing w:line="360" w:lineRule="auto"/>
              <w:jc w:val="left"/>
              <w:rPr>
                <w:rFonts w:hAnsi="宋体"/>
                <w:kern w:val="0"/>
                <w:sz w:val="24"/>
                <w:highlight w:val="none"/>
                <w:lang w:val="ru-RU"/>
              </w:rPr>
            </w:pPr>
            <w:r>
              <w:rPr>
                <w:rFonts w:hint="eastAsia" w:ascii="宋体" w:hAnsi="宋体" w:cs="宋体"/>
                <w:color w:val="000000"/>
                <w:kern w:val="0"/>
                <w:sz w:val="24"/>
                <w:highlight w:val="none"/>
              </w:rPr>
              <w:t>投标</w:t>
            </w:r>
            <w:r>
              <w:rPr>
                <w:rFonts w:ascii="宋体" w:hAnsi="宋体" w:cs="宋体"/>
                <w:color w:val="000000"/>
                <w:kern w:val="0"/>
                <w:sz w:val="24"/>
                <w:highlight w:val="none"/>
              </w:rPr>
              <w:t>报价得分=（</w:t>
            </w:r>
            <w:r>
              <w:rPr>
                <w:rFonts w:hint="eastAsia" w:ascii="宋体" w:hAnsi="宋体" w:cs="宋体"/>
                <w:color w:val="000000"/>
                <w:kern w:val="0"/>
                <w:sz w:val="24"/>
                <w:highlight w:val="none"/>
              </w:rPr>
              <w:t>评标</w:t>
            </w:r>
            <w:r>
              <w:rPr>
                <w:rFonts w:ascii="宋体" w:hAnsi="宋体" w:cs="宋体"/>
                <w:color w:val="000000"/>
                <w:kern w:val="0"/>
                <w:sz w:val="24"/>
                <w:highlight w:val="none"/>
              </w:rPr>
              <w:t>基准价/</w:t>
            </w:r>
            <w:r>
              <w:rPr>
                <w:rFonts w:hint="eastAsia" w:ascii="宋体" w:hAnsi="宋体" w:cs="宋体"/>
                <w:color w:val="000000"/>
                <w:kern w:val="0"/>
                <w:sz w:val="24"/>
                <w:highlight w:val="none"/>
              </w:rPr>
              <w:t>投标</w:t>
            </w:r>
            <w:r>
              <w:rPr>
                <w:rFonts w:ascii="宋体" w:hAnsi="宋体" w:cs="宋体"/>
                <w:color w:val="000000"/>
                <w:kern w:val="0"/>
                <w:sz w:val="24"/>
                <w:highlight w:val="none"/>
              </w:rPr>
              <w:t>报价）×</w:t>
            </w:r>
            <w:r>
              <w:rPr>
                <w:rFonts w:hint="eastAsia" w:ascii="宋体" w:hAnsi="宋体" w:cs="宋体"/>
                <w:color w:val="000000"/>
                <w:kern w:val="0"/>
                <w:sz w:val="24"/>
                <w:highlight w:val="none"/>
              </w:rPr>
              <w:t>10%</w:t>
            </w:r>
            <w:r>
              <w:rPr>
                <w:rFonts w:ascii="宋体" w:hAnsi="宋体" w:cs="宋体"/>
                <w:color w:val="000000"/>
                <w:kern w:val="0"/>
                <w:sz w:val="24"/>
                <w:highlight w:val="none"/>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89" w:type="dxa"/>
            <w:vMerge w:val="restart"/>
            <w:tcBorders>
              <w:top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商务</w:t>
            </w:r>
          </w:p>
          <w:p>
            <w:pPr>
              <w:spacing w:line="360" w:lineRule="auto"/>
              <w:jc w:val="center"/>
              <w:rPr>
                <w:rFonts w:ascii="宋体" w:hAnsi="宋体" w:cs="宋体"/>
                <w:sz w:val="24"/>
                <w:highlight w:val="none"/>
              </w:rPr>
            </w:pPr>
            <w:r>
              <w:rPr>
                <w:rFonts w:hint="eastAsia" w:ascii="宋体" w:hAnsi="宋体" w:cs="宋体"/>
                <w:sz w:val="24"/>
                <w:highlight w:val="none"/>
              </w:rPr>
              <w:t>评价项40分</w:t>
            </w: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类似业绩</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24</w:t>
            </w:r>
          </w:p>
        </w:tc>
        <w:tc>
          <w:tcPr>
            <w:tcW w:w="6840" w:type="dxa"/>
            <w:tcBorders>
              <w:top w:val="single" w:color="auto" w:sz="4" w:space="0"/>
              <w:left w:val="single" w:color="auto" w:sz="4" w:space="0"/>
              <w:bottom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投标人近三年（2019年1月以来，以合同签订时间为准）承担过类似可研业绩的，每个得4分，最高得24分。</w:t>
            </w:r>
          </w:p>
          <w:p>
            <w:pPr>
              <w:pStyle w:val="10"/>
              <w:rPr>
                <w:rFonts w:hAnsi="宋体"/>
                <w:szCs w:val="24"/>
                <w:highlight w:val="none"/>
              </w:rPr>
            </w:pPr>
            <w:r>
              <w:rPr>
                <w:rFonts w:hint="eastAsia" w:hAnsi="宋体"/>
                <w:szCs w:val="24"/>
                <w:highlight w:val="none"/>
              </w:rPr>
              <w:t>评审依据：提供合同复印件并加盖公章。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荣誉奖项</w:t>
            </w:r>
          </w:p>
        </w:tc>
        <w:tc>
          <w:tcPr>
            <w:tcW w:w="885"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6</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投标人近三年（2019年1月以来，以获奖证书颁发时间为准）承担的同类型咨询服务项目获得市级荣誉或表彰的，每项3分；本项最高6分。同一项目的荣誉或表彰的只计算一次。</w:t>
            </w:r>
          </w:p>
          <w:p>
            <w:pPr>
              <w:pStyle w:val="10"/>
              <w:rPr>
                <w:rFonts w:hAnsi="宋体"/>
                <w:szCs w:val="24"/>
                <w:highlight w:val="none"/>
              </w:rPr>
            </w:pPr>
            <w:r>
              <w:rPr>
                <w:rFonts w:hint="eastAsia" w:hAnsi="宋体"/>
                <w:szCs w:val="24"/>
                <w:highlight w:val="none"/>
              </w:rPr>
              <w:t>评审依据：提供证明资料复印件并加盖公章。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项目负责人</w:t>
            </w:r>
          </w:p>
        </w:tc>
        <w:tc>
          <w:tcPr>
            <w:tcW w:w="885" w:type="dxa"/>
            <w:tcBorders>
              <w:top w:val="single" w:color="auto" w:sz="4" w:space="0"/>
              <w:left w:val="single" w:color="auto" w:sz="4" w:space="0"/>
              <w:right w:val="single" w:color="auto" w:sz="4" w:space="0"/>
            </w:tcBorders>
            <w:vAlign w:val="center"/>
          </w:tcPr>
          <w:p>
            <w:pPr>
              <w:spacing w:line="360" w:lineRule="auto"/>
              <w:jc w:val="center"/>
              <w:textAlignment w:val="center"/>
              <w:rPr>
                <w:rFonts w:ascii="宋体" w:hAnsi="宋体" w:cs="宋体"/>
                <w:sz w:val="24"/>
                <w:highlight w:val="none"/>
              </w:rPr>
            </w:pPr>
            <w:r>
              <w:rPr>
                <w:rFonts w:hint="eastAsia" w:ascii="宋体" w:hAnsi="宋体" w:cs="宋体"/>
                <w:sz w:val="24"/>
                <w:highlight w:val="none"/>
              </w:rPr>
              <w:t>6</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(1)具备相关专业中级职称的得1分，高级工程师及以上的得3分；</w:t>
            </w:r>
          </w:p>
          <w:p>
            <w:pPr>
              <w:pStyle w:val="10"/>
              <w:rPr>
                <w:rFonts w:hAnsi="宋体"/>
                <w:szCs w:val="24"/>
                <w:highlight w:val="none"/>
              </w:rPr>
            </w:pPr>
            <w:r>
              <w:rPr>
                <w:rFonts w:hint="eastAsia" w:hAnsi="宋体"/>
                <w:szCs w:val="24"/>
                <w:highlight w:val="none"/>
              </w:rPr>
              <w:t>(2)具备本科学历的得1分，本科以上学历的得3分。</w:t>
            </w:r>
          </w:p>
          <w:p>
            <w:pPr>
              <w:pStyle w:val="10"/>
              <w:rPr>
                <w:rFonts w:hAnsi="宋体"/>
                <w:szCs w:val="24"/>
                <w:highlight w:val="none"/>
              </w:rPr>
            </w:pPr>
            <w:r>
              <w:rPr>
                <w:rFonts w:hint="eastAsia" w:hAnsi="宋体"/>
                <w:szCs w:val="24"/>
                <w:highlight w:val="none"/>
              </w:rPr>
              <w:t>评审依据：提供相关证书复印件并加盖公章。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9" w:type="dxa"/>
            <w:vMerge w:val="continue"/>
            <w:tcBorders>
              <w:right w:val="single" w:color="auto" w:sz="4" w:space="0"/>
            </w:tcBorders>
          </w:tcPr>
          <w:p>
            <w:pPr>
              <w:spacing w:line="360" w:lineRule="auto"/>
              <w:jc w:val="center"/>
              <w:rPr>
                <w:rFonts w:ascii="宋体" w:hAnsi="宋体" w:cs="宋体"/>
                <w:sz w:val="24"/>
                <w:highlight w:val="none"/>
              </w:rPr>
            </w:pPr>
          </w:p>
        </w:tc>
        <w:tc>
          <w:tcPr>
            <w:tcW w:w="1230" w:type="dxa"/>
            <w:tcBorders>
              <w:top w:val="single" w:color="auto" w:sz="4" w:space="0"/>
              <w:bottom w:val="single" w:color="auto" w:sz="4" w:space="0"/>
              <w:right w:val="single" w:color="auto" w:sz="4" w:space="0"/>
            </w:tcBorders>
            <w:vAlign w:val="center"/>
          </w:tcPr>
          <w:p>
            <w:pPr>
              <w:pStyle w:val="10"/>
              <w:jc w:val="center"/>
              <w:rPr>
                <w:rFonts w:ascii="Times New Roman" w:hAnsi="宋体"/>
                <w:kern w:val="0"/>
                <w:szCs w:val="24"/>
                <w:highlight w:val="none"/>
              </w:rPr>
            </w:pPr>
            <w:r>
              <w:rPr>
                <w:rFonts w:hint="eastAsia" w:ascii="Times New Roman" w:hAnsi="宋体"/>
                <w:kern w:val="0"/>
                <w:szCs w:val="24"/>
                <w:highlight w:val="none"/>
              </w:rPr>
              <w:t>项目团队人员</w:t>
            </w:r>
          </w:p>
        </w:tc>
        <w:tc>
          <w:tcPr>
            <w:tcW w:w="885"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4</w:t>
            </w:r>
          </w:p>
        </w:tc>
        <w:tc>
          <w:tcPr>
            <w:tcW w:w="6840" w:type="dxa"/>
            <w:tcBorders>
              <w:top w:val="single" w:color="auto" w:sz="4" w:space="0"/>
              <w:left w:val="single" w:color="auto" w:sz="4" w:space="0"/>
              <w:right w:val="single" w:color="auto" w:sz="4" w:space="0"/>
            </w:tcBorders>
            <w:vAlign w:val="center"/>
          </w:tcPr>
          <w:p>
            <w:pPr>
              <w:pStyle w:val="10"/>
              <w:rPr>
                <w:rFonts w:hAnsi="宋体"/>
                <w:szCs w:val="24"/>
                <w:highlight w:val="none"/>
              </w:rPr>
            </w:pPr>
            <w:r>
              <w:rPr>
                <w:rFonts w:hint="eastAsia" w:hAnsi="宋体"/>
                <w:szCs w:val="24"/>
                <w:highlight w:val="none"/>
              </w:rPr>
              <w:t>项目团队有相关专业中级职称的（项目负责人除外），每1人得1分，最高得4分。</w:t>
            </w:r>
          </w:p>
          <w:p>
            <w:pPr>
              <w:pStyle w:val="10"/>
              <w:rPr>
                <w:rFonts w:hAnsi="宋体"/>
                <w:szCs w:val="24"/>
                <w:highlight w:val="none"/>
              </w:rPr>
            </w:pPr>
            <w:r>
              <w:rPr>
                <w:rFonts w:hint="eastAsia" w:hAnsi="宋体"/>
                <w:szCs w:val="24"/>
                <w:highlight w:val="none"/>
              </w:rPr>
              <w:t>评审依据：提供相关证书复印件并加盖公章。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9" w:type="dxa"/>
            <w:vMerge w:val="restart"/>
            <w:tcBorders>
              <w:top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技术</w:t>
            </w:r>
          </w:p>
          <w:p>
            <w:pPr>
              <w:spacing w:line="360" w:lineRule="auto"/>
              <w:jc w:val="center"/>
              <w:rPr>
                <w:rFonts w:ascii="宋体" w:hAnsi="宋体" w:cs="宋体"/>
                <w:sz w:val="24"/>
                <w:highlight w:val="none"/>
              </w:rPr>
            </w:pPr>
            <w:r>
              <w:rPr>
                <w:rFonts w:hint="eastAsia" w:ascii="宋体" w:hAnsi="宋体" w:cs="宋体"/>
                <w:sz w:val="24"/>
                <w:highlight w:val="none"/>
              </w:rPr>
              <w:t>评价项50分</w:t>
            </w: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内部管理制度</w:t>
            </w:r>
          </w:p>
        </w:tc>
        <w:tc>
          <w:tcPr>
            <w:tcW w:w="88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lang w:val="ru-RU"/>
              </w:rPr>
            </w:pPr>
            <w:r>
              <w:rPr>
                <w:rFonts w:hint="eastAsia" w:ascii="宋体" w:hAnsi="宋体" w:cs="宋体"/>
                <w:kern w:val="0"/>
                <w:sz w:val="24"/>
                <w:highlight w:val="none"/>
                <w:lang w:val="zh-CN"/>
              </w:rPr>
              <w:t>主要包括：风险防控制度、财务管理制度、保密制度、档案管理制度、人事管理制度，每提供一个制度得</w:t>
            </w:r>
            <w:r>
              <w:rPr>
                <w:rFonts w:hint="eastAsia" w:ascii="宋体" w:hAnsi="宋体" w:cs="宋体"/>
                <w:kern w:val="0"/>
                <w:sz w:val="24"/>
                <w:highlight w:val="none"/>
              </w:rPr>
              <w:t>2</w:t>
            </w:r>
            <w:r>
              <w:rPr>
                <w:rFonts w:hint="eastAsia" w:ascii="宋体" w:hAnsi="宋体" w:cs="宋体"/>
                <w:kern w:val="0"/>
                <w:sz w:val="24"/>
                <w:highlight w:val="none"/>
                <w:lang w:val="zh-CN"/>
              </w:rPr>
              <w:t>分，最高得</w:t>
            </w:r>
            <w:r>
              <w:rPr>
                <w:rFonts w:hint="eastAsia" w:ascii="宋体" w:hAnsi="宋体" w:cs="宋体"/>
                <w:kern w:val="0"/>
                <w:sz w:val="24"/>
                <w:highlight w:val="none"/>
              </w:rPr>
              <w:t>10</w:t>
            </w:r>
            <w:r>
              <w:rPr>
                <w:rFonts w:hint="eastAsia" w:ascii="宋体" w:hAnsi="宋体" w:cs="宋体"/>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项目需求理解</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主要评审投标人对项目的意图理解是否透彻，工作内容和范围理解是否准确充分，重点、难点的分析是否清晰、准确。按下列标准之一评分（保留1位小数，下同）：</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（1）项目理解准确、有针对性的，得</w:t>
            </w:r>
            <w:r>
              <w:rPr>
                <w:rFonts w:hint="eastAsia" w:ascii="宋体" w:hAnsi="宋体" w:cs="宋体"/>
                <w:kern w:val="0"/>
                <w:sz w:val="24"/>
                <w:highlight w:val="none"/>
              </w:rPr>
              <w:t>7.1-10</w:t>
            </w:r>
            <w:r>
              <w:rPr>
                <w:rFonts w:hint="eastAsia" w:ascii="宋体" w:hAnsi="宋体" w:cs="宋体"/>
                <w:kern w:val="0"/>
                <w:sz w:val="24"/>
                <w:highlight w:val="none"/>
                <w:lang w:val="zh-CN"/>
              </w:rPr>
              <w:t>分；</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（2）重难点分析基本准确、比较具有针对性的，得</w:t>
            </w:r>
            <w:r>
              <w:rPr>
                <w:rFonts w:hint="eastAsia" w:ascii="宋体" w:hAnsi="宋体" w:cs="宋体"/>
                <w:kern w:val="0"/>
                <w:sz w:val="24"/>
                <w:highlight w:val="none"/>
              </w:rPr>
              <w:t>4.1-7</w:t>
            </w:r>
            <w:r>
              <w:rPr>
                <w:rFonts w:hint="eastAsia" w:ascii="宋体" w:hAnsi="宋体" w:cs="宋体"/>
                <w:kern w:val="0"/>
                <w:sz w:val="24"/>
                <w:highlight w:val="none"/>
                <w:lang w:val="zh-CN"/>
              </w:rPr>
              <w:t>分；</w:t>
            </w:r>
          </w:p>
          <w:p>
            <w:pPr>
              <w:autoSpaceDE w:val="0"/>
              <w:autoSpaceDN w:val="0"/>
              <w:adjustRightInd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（3）重难点分析欠缺的，得</w:t>
            </w:r>
            <w:r>
              <w:rPr>
                <w:rFonts w:hint="eastAsia" w:ascii="宋体" w:hAnsi="宋体" w:cs="宋体"/>
                <w:kern w:val="0"/>
                <w:sz w:val="24"/>
                <w:highlight w:val="none"/>
              </w:rPr>
              <w:t>0-4</w:t>
            </w:r>
            <w:r>
              <w:rPr>
                <w:rFonts w:hint="eastAsia" w:ascii="宋体" w:hAnsi="宋体" w:cs="宋体"/>
                <w:kern w:val="0"/>
                <w:sz w:val="24"/>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合同履行情况等审核方案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主要评审投标人对于合同履行情况等拟定的咨询方案是否科学、完善、可行。</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按下列标准之一评分：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（1）咨询方案科学、完善、可行的，</w:t>
            </w:r>
            <w:r>
              <w:rPr>
                <w:rFonts w:hint="eastAsia" w:ascii="宋体" w:hAnsi="宋体" w:cs="宋体"/>
                <w:kern w:val="0"/>
                <w:sz w:val="24"/>
                <w:highlight w:val="none"/>
                <w:lang w:val="zh-CN"/>
              </w:rPr>
              <w:t>得</w:t>
            </w:r>
            <w:r>
              <w:rPr>
                <w:rFonts w:hint="eastAsia" w:ascii="宋体" w:hAnsi="宋体" w:cs="宋体"/>
                <w:kern w:val="0"/>
                <w:sz w:val="24"/>
                <w:highlight w:val="none"/>
              </w:rPr>
              <w:t>7.1-10</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（2）咨询方案比较科学、比较完善、比较可行的，</w:t>
            </w:r>
            <w:r>
              <w:rPr>
                <w:rFonts w:hint="eastAsia" w:ascii="宋体" w:hAnsi="宋体" w:cs="宋体"/>
                <w:kern w:val="0"/>
                <w:sz w:val="24"/>
                <w:highlight w:val="none"/>
                <w:lang w:val="zh-CN"/>
              </w:rPr>
              <w:t>得</w:t>
            </w:r>
            <w:r>
              <w:rPr>
                <w:rFonts w:hint="eastAsia" w:ascii="宋体" w:hAnsi="宋体" w:cs="宋体"/>
                <w:kern w:val="0"/>
                <w:sz w:val="24"/>
                <w:highlight w:val="none"/>
              </w:rPr>
              <w:t>4.1-7</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（3）咨询方案欠缺的，得0-4分。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szCs w:val="24"/>
                <w:highlight w:val="none"/>
              </w:rPr>
            </w:pPr>
            <w:r>
              <w:rPr>
                <w:rFonts w:hint="eastAsia" w:hAnsi="宋体"/>
                <w:szCs w:val="24"/>
                <w:highlight w:val="none"/>
              </w:rPr>
              <w:t>质量保证措施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10</w:t>
            </w:r>
          </w:p>
        </w:tc>
        <w:tc>
          <w:tcPr>
            <w:tcW w:w="6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主要评审投标人提出的质量保证措施是否合理可靠。</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按下列标准之一评分：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（1）质量保证措施合理可靠的，</w:t>
            </w:r>
            <w:r>
              <w:rPr>
                <w:rFonts w:hint="eastAsia" w:ascii="宋体" w:hAnsi="宋体" w:cs="宋体"/>
                <w:kern w:val="0"/>
                <w:sz w:val="24"/>
                <w:highlight w:val="none"/>
                <w:lang w:val="zh-CN"/>
              </w:rPr>
              <w:t>得</w:t>
            </w:r>
            <w:r>
              <w:rPr>
                <w:rFonts w:hint="eastAsia" w:ascii="宋体" w:hAnsi="宋体" w:cs="宋体"/>
                <w:kern w:val="0"/>
                <w:sz w:val="24"/>
                <w:highlight w:val="none"/>
              </w:rPr>
              <w:t>7.1-10</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（2）质量保证措施较合理、基本满足项目要求的，</w:t>
            </w:r>
            <w:r>
              <w:rPr>
                <w:rFonts w:hint="eastAsia" w:ascii="宋体" w:hAnsi="宋体" w:cs="宋体"/>
                <w:kern w:val="0"/>
                <w:sz w:val="24"/>
                <w:highlight w:val="none"/>
                <w:lang w:val="zh-CN"/>
              </w:rPr>
              <w:t>得</w:t>
            </w:r>
            <w:r>
              <w:rPr>
                <w:rFonts w:hint="eastAsia" w:ascii="宋体" w:hAnsi="宋体" w:cs="宋体"/>
                <w:kern w:val="0"/>
                <w:sz w:val="24"/>
                <w:highlight w:val="none"/>
              </w:rPr>
              <w:t>4.1-7</w:t>
            </w:r>
            <w:r>
              <w:rPr>
                <w:rFonts w:hint="eastAsia" w:ascii="宋体" w:hAnsi="宋体" w:cs="宋体"/>
                <w:kern w:val="0"/>
                <w:sz w:val="24"/>
                <w:highlight w:val="none"/>
                <w:lang w:val="zh-CN"/>
              </w:rPr>
              <w:t>分</w:t>
            </w:r>
            <w:r>
              <w:rPr>
                <w:rFonts w:hint="eastAsia" w:ascii="宋体" w:hAnsi="宋体" w:cs="宋体"/>
                <w:kern w:val="0"/>
                <w:sz w:val="24"/>
                <w:highlight w:val="none"/>
              </w:rPr>
              <w:t>；</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（3）质量保证措施一般的，得0-4分。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Ansi="宋体"/>
                <w:sz w:val="24"/>
                <w:szCs w:val="24"/>
                <w:highlight w:val="none"/>
              </w:rPr>
            </w:pPr>
            <w:r>
              <w:rPr>
                <w:rFonts w:hint="eastAsia" w:ascii="宋体" w:hAnsi="宋体"/>
                <w:kern w:val="0"/>
                <w:sz w:val="24"/>
                <w:highlight w:val="none"/>
              </w:rPr>
              <w:t>保密措施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5</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 w:val="24"/>
                <w:highlight w:val="none"/>
              </w:rPr>
            </w:pPr>
            <w:r>
              <w:rPr>
                <w:rFonts w:hint="eastAsia" w:ascii="宋体" w:hAnsi="宋体"/>
                <w:sz w:val="24"/>
                <w:highlight w:val="none"/>
              </w:rPr>
              <w:t>根据申请人对本项目提出的保密措施进行横向比较，酌情评分。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sz w:val="24"/>
                <w:highlight w:val="none"/>
              </w:rPr>
              <w:t>优5分，一般3-4分，差1-2分，没有不得分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9" w:type="dxa"/>
            <w:vMerge w:val="continue"/>
            <w:tcBorders>
              <w:right w:val="single" w:color="auto" w:sz="4" w:space="0"/>
            </w:tcBorders>
            <w:vAlign w:val="center"/>
          </w:tcPr>
          <w:p>
            <w:pPr>
              <w:spacing w:line="360" w:lineRule="auto"/>
              <w:jc w:val="center"/>
              <w:rPr>
                <w:rFonts w:ascii="宋体" w:hAnsi="宋体" w:cs="宋体"/>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hAnsi="宋体"/>
                <w:sz w:val="24"/>
                <w:szCs w:val="24"/>
                <w:highlight w:val="none"/>
              </w:rPr>
            </w:pPr>
            <w:r>
              <w:rPr>
                <w:rFonts w:hint="eastAsia" w:ascii="宋体" w:hAnsi="宋体"/>
                <w:kern w:val="0"/>
                <w:sz w:val="24"/>
                <w:highlight w:val="none"/>
              </w:rPr>
              <w:t>廉政措施</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4"/>
                <w:highlight w:val="none"/>
              </w:rPr>
            </w:pPr>
            <w:r>
              <w:rPr>
                <w:rFonts w:hint="eastAsia" w:ascii="宋体" w:hAnsi="宋体" w:cs="宋体"/>
                <w:sz w:val="24"/>
                <w:highlight w:val="none"/>
              </w:rPr>
              <w:t>5</w:t>
            </w:r>
          </w:p>
        </w:tc>
        <w:tc>
          <w:tcPr>
            <w:tcW w:w="6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 w:val="24"/>
                <w:highlight w:val="none"/>
              </w:rPr>
            </w:pPr>
            <w:r>
              <w:rPr>
                <w:rFonts w:hint="eastAsia" w:ascii="宋体" w:hAnsi="宋体"/>
                <w:sz w:val="24"/>
                <w:highlight w:val="none"/>
              </w:rPr>
              <w:t>对审核人员廉洁方面的控制及采取的措施，横向对比，酌情评分。</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sz w:val="24"/>
                <w:highlight w:val="none"/>
              </w:rPr>
              <w:t>优5分，一般3-4分，差1-2分，没有不得分</w:t>
            </w:r>
          </w:p>
        </w:tc>
      </w:tr>
    </w:tbl>
    <w:p>
      <w:pPr>
        <w:pStyle w:val="2"/>
        <w:rPr>
          <w:rFonts w:ascii="宋体" w:hAnsi="宋体" w:cs="宋体"/>
          <w:sz w:val="24"/>
          <w:szCs w:val="24"/>
        </w:rPr>
      </w:pPr>
    </w:p>
    <w:p>
      <w:pPr>
        <w:pStyle w:val="2"/>
        <w:rPr>
          <w:rFonts w:ascii="宋体" w:hAnsi="宋体" w:cs="宋体"/>
          <w:sz w:val="24"/>
          <w:szCs w:val="24"/>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3.4综合比较与评价：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各申请人的最终得分计算办法：所有评委评分的算术平均值</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3.5推荐中标候选申请人名单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（2）若出现综合得分相同的情况，则报价较低者优先；若报价亦相同，则技术得分较高者优先选录。</w:t>
      </w:r>
      <w:bookmarkEnd w:id="3"/>
      <w:bookmarkEnd w:id="4"/>
      <w:bookmarkEnd w:id="5"/>
      <w:bookmarkEnd w:id="6"/>
      <w:bookmarkEnd w:id="7"/>
      <w:bookmarkEnd w:id="8"/>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spacing w:line="360" w:lineRule="auto"/>
        <w:ind w:firstLine="2209" w:firstLineChars="500"/>
        <w:rPr>
          <w:rFonts w:ascii="宋体" w:hAnsi="宋体"/>
          <w:kern w:val="0"/>
        </w:rPr>
      </w:pPr>
      <w:r>
        <w:rPr>
          <w:rFonts w:hint="eastAsia" w:ascii="宋体" w:hAnsi="宋体"/>
          <w:kern w:val="0"/>
        </w:rPr>
        <w:t>第五章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项目 </w:t>
      </w:r>
      <w:r>
        <w:rPr>
          <w:rFonts w:hint="eastAsia" w:ascii="宋体" w:hAnsi="宋体" w:cs="宋体"/>
          <w:sz w:val="24"/>
          <w:szCs w:val="24"/>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采购服务内容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2、服务期限：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3、服务方式：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二、服务要求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三、服务期限及响应要求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四、人员要求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五、其他要求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六、争议的解决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七、不可抗力</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八、税费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九、其它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十、合同生效：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1、本合同在甲乙双方法人代表或其授权代表签字盖章后生效。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2、合同一式 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甲方（盖章）：                          乙方（盖章）：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代表：                                  代表：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签定地点：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签定日期： 年 月 日                    签定日期： 年 月 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开户名称：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银行帐号：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 户 行</w:t>
      </w:r>
    </w:p>
    <w:p>
      <w:pPr>
        <w:spacing w:line="500" w:lineRule="exact"/>
        <w:jc w:val="left"/>
        <w:rPr>
          <w:rFonts w:ascii="宋体" w:hAnsi="宋体" w:cs="宋体"/>
          <w:szCs w:val="21"/>
        </w:rPr>
      </w:pPr>
      <w:r>
        <w:rPr>
          <w:rFonts w:hint="eastAsia" w:ascii="宋体" w:hAnsi="宋体" w:cs="宋体"/>
          <w:szCs w:val="21"/>
        </w:rPr>
        <w:t>注：合同签订双方可根据项目的具体要求进行修订</w:t>
      </w:r>
    </w:p>
    <w:p>
      <w:pPr>
        <w:pStyle w:val="9"/>
        <w:ind w:left="1260"/>
        <w:jc w:val="left"/>
        <w:rPr>
          <w:rFonts w:ascii="宋体" w:hAnsi="宋体" w:cs="宋体"/>
          <w:szCs w:val="21"/>
        </w:rPr>
      </w:pPr>
    </w:p>
    <w:p>
      <w:pPr>
        <w:pStyle w:val="9"/>
        <w:ind w:left="0" w:leftChars="0"/>
        <w:jc w:val="left"/>
        <w:rPr>
          <w:rFonts w:ascii="宋体" w:hAnsi="宋体" w:cs="宋体"/>
          <w:szCs w:val="21"/>
        </w:rPr>
      </w:pPr>
    </w:p>
    <w:p>
      <w:pPr>
        <w:pStyle w:val="9"/>
        <w:ind w:left="0" w:leftChars="0"/>
        <w:jc w:val="left"/>
        <w:rPr>
          <w:rFonts w:ascii="宋体" w:hAnsi="宋体" w:cs="宋体"/>
          <w:szCs w:val="21"/>
        </w:rPr>
      </w:pPr>
    </w:p>
    <w:p/>
    <w:p>
      <w:pPr>
        <w:pStyle w:val="2"/>
      </w:pPr>
    </w:p>
    <w:p>
      <w:pPr>
        <w:pStyle w:val="3"/>
        <w:spacing w:line="360" w:lineRule="auto"/>
        <w:jc w:val="center"/>
        <w:rPr>
          <w:rFonts w:ascii="宋体" w:hAnsi="宋体"/>
          <w:kern w:val="0"/>
        </w:rPr>
      </w:pPr>
      <w:r>
        <w:rPr>
          <w:rFonts w:hint="eastAsia" w:ascii="宋体" w:hAnsi="宋体"/>
          <w:kern w:val="0"/>
        </w:rPr>
        <w:t>第六章 响应文件格式</w:t>
      </w:r>
    </w:p>
    <w:p>
      <w:pPr>
        <w:pStyle w:val="10"/>
        <w:tabs>
          <w:tab w:val="left" w:pos="1260"/>
        </w:tabs>
        <w:jc w:val="center"/>
        <w:rPr>
          <w:rFonts w:hAnsi="宋体"/>
        </w:rPr>
      </w:pPr>
      <w:r>
        <w:rPr>
          <w:rFonts w:hint="eastAsia" w:hAnsi="宋体"/>
        </w:rPr>
        <w:t>（响应文件须编页码，页码必须连续）</w:t>
      </w:r>
    </w:p>
    <w:p>
      <w:pPr>
        <w:pStyle w:val="10"/>
        <w:tabs>
          <w:tab w:val="left" w:pos="1260"/>
        </w:tabs>
        <w:jc w:val="center"/>
        <w:rPr>
          <w:rFonts w:hAnsi="宋体"/>
          <w:spacing w:val="100"/>
          <w:w w:val="110"/>
          <w:kern w:val="0"/>
          <w:sz w:val="52"/>
          <w:szCs w:val="52"/>
        </w:rPr>
      </w:pP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响</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应</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件</w:t>
      </w:r>
    </w:p>
    <w:p>
      <w:pPr>
        <w:pStyle w:val="10"/>
        <w:jc w:val="center"/>
        <w:rPr>
          <w:rFonts w:hAnsi="宋体"/>
          <w:sz w:val="52"/>
          <w:szCs w:val="52"/>
        </w:rPr>
      </w:pPr>
    </w:p>
    <w:p>
      <w:pPr>
        <w:pStyle w:val="10"/>
        <w:jc w:val="center"/>
        <w:rPr>
          <w:rFonts w:hAnsi="宋体"/>
          <w:sz w:val="52"/>
          <w:szCs w:val="52"/>
        </w:rPr>
      </w:pPr>
      <w:r>
        <w:rPr>
          <w:rFonts w:hint="eastAsia" w:hAnsi="宋体"/>
          <w:sz w:val="52"/>
          <w:szCs w:val="52"/>
        </w:rPr>
        <w:t>（正本/副本）</w:t>
      </w:r>
    </w:p>
    <w:p>
      <w:pPr>
        <w:pStyle w:val="10"/>
        <w:jc w:val="center"/>
        <w:rPr>
          <w:rFonts w:hAnsi="宋体"/>
          <w:sz w:val="52"/>
          <w:szCs w:val="52"/>
        </w:rPr>
      </w:pPr>
    </w:p>
    <w:p>
      <w:pPr>
        <w:pStyle w:val="10"/>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ind w:firstLine="1100" w:firstLineChars="344"/>
        <w:rPr>
          <w:rFonts w:hAnsi="宋体"/>
          <w:sz w:val="32"/>
          <w:szCs w:val="32"/>
        </w:rPr>
      </w:pPr>
      <w:r>
        <w:rPr>
          <w:rFonts w:hint="eastAsia" w:hAnsi="宋体"/>
          <w:sz w:val="32"/>
          <w:szCs w:val="32"/>
        </w:rPr>
        <w:t>申请人名称：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rPr>
        <w:t>响应文件目录（略）</w:t>
      </w:r>
    </w:p>
    <w:p>
      <w:pPr>
        <w:spacing w:line="500" w:lineRule="exact"/>
        <w:ind w:firstLine="480" w:firstLineChars="200"/>
        <w:rPr>
          <w:rFonts w:ascii="宋体" w:hAnsi="宋体"/>
          <w:color w:val="000000"/>
          <w:sz w:val="24"/>
        </w:rPr>
      </w:pPr>
      <w:bookmarkStart w:id="9" w:name="_Toc461116587"/>
      <w:bookmarkStart w:id="10" w:name="_Toc47724622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rPr>
        <w:t>遴选文件</w:t>
      </w:r>
      <w:r>
        <w:rPr>
          <w:rFonts w:ascii="宋体" w:hAnsi="宋体"/>
          <w:sz w:val="24"/>
        </w:rPr>
        <w:t>的全部内容，愿意以人民币</w:t>
      </w:r>
      <w:r>
        <w:rPr>
          <w:rFonts w:hint="eastAsia" w:ascii="宋体" w:hAnsi="宋体"/>
          <w:sz w:val="24"/>
          <w:u w:val="single"/>
        </w:rPr>
        <w:t xml:space="preserve">               </w:t>
      </w:r>
      <w:r>
        <w:rPr>
          <w:rFonts w:hint="eastAsia" w:ascii="宋体" w:hAnsi="宋体"/>
          <w:sz w:val="24"/>
        </w:rPr>
        <w:t>元的投标总价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rPr>
        <w:t>遴选文件</w:t>
      </w:r>
      <w:r>
        <w:rPr>
          <w:rFonts w:ascii="宋体" w:hAnsi="宋体"/>
          <w:sz w:val="24"/>
        </w:rPr>
        <w:t>规定的投标有效期内不撤销</w:t>
      </w:r>
      <w:r>
        <w:rPr>
          <w:rFonts w:hint="eastAsia" w:ascii="宋体" w:hAnsi="宋体"/>
          <w:sz w:val="24"/>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rPr>
        <w:t>中选通知书</w:t>
      </w:r>
      <w:r>
        <w:rPr>
          <w:rFonts w:ascii="宋体" w:hAnsi="宋体"/>
          <w:sz w:val="24"/>
        </w:rPr>
        <w:t>后，在</w:t>
      </w:r>
      <w:r>
        <w:rPr>
          <w:rFonts w:hint="eastAsia" w:ascii="宋体" w:hAnsi="宋体"/>
          <w:sz w:val="24"/>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6"/>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ascii="宋体" w:hAnsi="宋体" w:cs="宋体"/>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b/>
                <w:bCs/>
                <w:szCs w:val="21"/>
              </w:rPr>
              <w:t>报价（元）</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Cs w:val="21"/>
              </w:rPr>
            </w:pPr>
          </w:p>
        </w:tc>
      </w:tr>
    </w:tbl>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申请人法定代表人或法定代表人授权代表签字：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rPr>
        <w:t>申请人名称(签章)：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6"/>
        <w:ind w:firstLine="480"/>
        <w:rPr>
          <w:rFonts w:ascii="宋体" w:hAnsi="宋体"/>
        </w:rPr>
      </w:pPr>
    </w:p>
    <w:p>
      <w:pPr>
        <w:pStyle w:val="26"/>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pStyle w:val="2"/>
        <w:rPr>
          <w:rFonts w:ascii="宋体" w:hAnsi="宋体"/>
        </w:rPr>
      </w:pPr>
    </w:p>
    <w:p>
      <w:pPr>
        <w:pStyle w:val="2"/>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spacing w:line="500" w:lineRule="exact"/>
        <w:ind w:firstLine="480" w:firstLineChars="200"/>
        <w:jc w:val="left"/>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（申请人名称）的法定代表人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（项目名称）</w:t>
      </w:r>
      <w:r>
        <w:rPr>
          <w:rFonts w:hint="eastAsia" w:ascii="宋体" w:hAnsi="宋体" w:cs="宋体"/>
          <w:sz w:val="24"/>
        </w:rPr>
        <w:t>响应文件、签订合同和处理有关事宜，其法律后果由我方承担。</w:t>
      </w:r>
    </w:p>
    <w:p>
      <w:pPr>
        <w:spacing w:line="500" w:lineRule="exact"/>
        <w:ind w:firstLine="480" w:firstLineChars="200"/>
        <w:jc w:val="left"/>
        <w:rPr>
          <w:rFonts w:ascii="宋体" w:hAnsi="宋体" w:cs="宋体"/>
          <w:w w:val="95"/>
          <w:sz w:val="24"/>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ascii="宋体" w:hAnsi="宋体"/>
          <w:b/>
          <w:sz w:val="32"/>
        </w:rPr>
      </w:pPr>
      <w:bookmarkStart w:id="18" w:name="page87"/>
      <w:bookmarkEnd w:id="18"/>
    </w:p>
    <w:p>
      <w:pPr>
        <w:spacing w:line="366" w:lineRule="exact"/>
        <w:jc w:val="center"/>
        <w:rPr>
          <w:rFonts w:ascii="宋体" w:hAnsi="宋体"/>
          <w:b/>
          <w:sz w:val="32"/>
        </w:rPr>
      </w:pPr>
      <w:r>
        <w:rPr>
          <w:rFonts w:hint="eastAsia" w:ascii="宋体" w:hAnsi="宋体"/>
          <w:b/>
          <w:sz w:val="32"/>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（1）提供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（2）提供经会计师事务所审计的 2020或2021年财务状况报告复印件或银行出具的资信证明复印件；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（4）提供开标时间前六个月内任意一个月的纳税证明及缴纳社会保险的证明材料复印件，如依法免税和依法不需要缴纳社会保障资金的，应提供相应证明文件；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（6）</w:t>
      </w:r>
      <w:r>
        <w:rPr>
          <w:rFonts w:hint="eastAsia" w:ascii="宋体" w:hAnsi="宋体" w:cs="宋体"/>
          <w:sz w:val="24"/>
          <w:szCs w:val="24"/>
          <w:highlight w:val="none"/>
          <w:lang w:val="zh-CN"/>
        </w:rPr>
        <w:t>未被</w:t>
      </w:r>
      <w:r>
        <w:rPr>
          <w:rFonts w:hint="eastAsia" w:ascii="宋体" w:hAnsi="宋体" w:cs="宋体"/>
          <w:sz w:val="24"/>
          <w:szCs w:val="24"/>
          <w:highlight w:val="none"/>
        </w:rPr>
        <w:t>“</w:t>
      </w:r>
      <w:r>
        <w:rPr>
          <w:rFonts w:hint="eastAsia" w:ascii="宋体" w:hAnsi="宋体" w:cs="宋体"/>
          <w:sz w:val="24"/>
          <w:szCs w:val="24"/>
          <w:highlight w:val="none"/>
          <w:lang w:val="zh-CN"/>
        </w:rPr>
        <w:t>信用中国</w:t>
      </w:r>
      <w:r>
        <w:rPr>
          <w:rFonts w:hint="eastAsia" w:ascii="宋体" w:hAnsi="宋体" w:cs="宋体"/>
          <w:sz w:val="24"/>
          <w:szCs w:val="24"/>
          <w:highlight w:val="none"/>
        </w:rPr>
        <w:t>”</w:t>
      </w:r>
      <w:r>
        <w:rPr>
          <w:rFonts w:hint="eastAsia" w:ascii="宋体" w:hAnsi="宋体" w:cs="宋体"/>
          <w:sz w:val="24"/>
          <w:szCs w:val="24"/>
          <w:highlight w:val="none"/>
          <w:lang w:val="zh-CN"/>
        </w:rPr>
        <w:t>网站</w:t>
      </w:r>
      <w:r>
        <w:rPr>
          <w:rFonts w:hint="eastAsia" w:ascii="宋体" w:hAnsi="宋体" w:cs="宋体"/>
          <w:sz w:val="24"/>
          <w:szCs w:val="24"/>
          <w:highlight w:val="none"/>
        </w:rPr>
        <w:t>(www.creditchina.gov.cn)</w:t>
      </w:r>
      <w:r>
        <w:rPr>
          <w:rFonts w:hint="eastAsia" w:ascii="宋体" w:hAnsi="宋体" w:cs="宋体"/>
          <w:sz w:val="24"/>
          <w:szCs w:val="24"/>
          <w:highlight w:val="none"/>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highlight w:val="none"/>
        </w:rPr>
        <w:t>；</w:t>
      </w:r>
    </w:p>
    <w:p>
      <w:pPr>
        <w:widowControl/>
        <w:spacing w:line="480" w:lineRule="exact"/>
        <w:ind w:firstLine="480" w:firstLineChars="200"/>
        <w:jc w:val="left"/>
        <w:rPr>
          <w:rFonts w:ascii="宋体" w:hAnsi="宋体" w:cs="宋体"/>
          <w:color w:val="000000"/>
          <w:kern w:val="0"/>
          <w:sz w:val="24"/>
          <w:highlight w:val="none"/>
          <w:lang w:val="zh-CN"/>
        </w:rPr>
      </w:pPr>
      <w:r>
        <w:rPr>
          <w:rFonts w:hint="eastAsia" w:ascii="宋体" w:hAnsi="宋体" w:cs="宋体"/>
          <w:sz w:val="24"/>
          <w:szCs w:val="24"/>
          <w:highlight w:val="none"/>
        </w:rPr>
        <w:t>（7）提供非联合体参加投标及中选后不分包、不转包的申明函</w:t>
      </w:r>
      <w:r>
        <w:rPr>
          <w:rFonts w:hint="eastAsia" w:ascii="宋体" w:hAnsi="宋体" w:cs="宋体"/>
          <w:color w:val="000000"/>
          <w:kern w:val="0"/>
          <w:sz w:val="24"/>
          <w:highlight w:val="none"/>
          <w:lang w:val="zh-CN"/>
        </w:rPr>
        <w:t>（格式自定）</w:t>
      </w:r>
      <w:r>
        <w:rPr>
          <w:rFonts w:hint="eastAsia" w:ascii="宋体" w:hAnsi="宋体" w:cs="宋体"/>
          <w:sz w:val="24"/>
          <w:szCs w:val="24"/>
          <w:highlight w:val="none"/>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8</w:t>
      </w:r>
      <w:r>
        <w:rPr>
          <w:rFonts w:hint="eastAsia" w:ascii="宋体" w:hAnsi="宋体" w:cs="宋体"/>
          <w:color w:val="000000"/>
          <w:kern w:val="0"/>
          <w:sz w:val="24"/>
          <w:lang w:val="zh-CN"/>
        </w:rPr>
        <w:t>）</w:t>
      </w:r>
      <w:r>
        <w:rPr>
          <w:rFonts w:hint="eastAsia" w:ascii="宋体" w:hAnsi="宋体" w:cs="宋体"/>
          <w:color w:val="000000"/>
          <w:kern w:val="0"/>
          <w:sz w:val="24"/>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四、类似项目业绩</w:t>
      </w:r>
    </w:p>
    <w:p>
      <w:pPr>
        <w:spacing w:line="366" w:lineRule="exact"/>
        <w:ind w:right="394"/>
        <w:jc w:val="center"/>
        <w:rPr>
          <w:rFonts w:ascii="宋体" w:hAnsi="宋体"/>
          <w:b/>
          <w:w w:val="99"/>
          <w:sz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p>
            <w:pPr>
              <w:adjustRightInd w:val="0"/>
              <w:snapToGrid w:val="0"/>
              <w:spacing w:before="31" w:beforeLines="10" w:after="31" w:afterLines="10"/>
              <w:ind w:left="21" w:leftChars="10" w:right="21" w:rightChars="10"/>
              <w:jc w:val="center"/>
              <w:rPr>
                <w:rFonts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7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095"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25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722"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c>
          <w:tcPr>
            <w:tcW w:w="1643"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五、遴选人要求申请人提交的其它投标资料。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440" w:lineRule="exact"/>
        <w:rPr>
          <w:rFonts w:ascii="宋体" w:hAnsi="宋体"/>
          <w:color w:val="000000"/>
          <w:sz w:val="24"/>
        </w:rPr>
      </w:pPr>
      <w:bookmarkStart w:id="22" w:name="page93"/>
      <w:bookmarkEnd w:id="22"/>
    </w:p>
    <w:p>
      <w:pPr>
        <w:spacing w:line="400" w:lineRule="exact"/>
        <w:ind w:left="360"/>
        <w:rPr>
          <w:rFonts w:ascii="宋体" w:hAnsi="宋体"/>
          <w:sz w:val="24"/>
        </w:rPr>
      </w:pPr>
      <w:r>
        <w:rPr>
          <w:rFonts w:hint="eastAsia" w:ascii="宋体" w:hAnsi="宋体"/>
          <w:sz w:val="24"/>
        </w:rPr>
        <w:t>3.技术部分</w:t>
      </w:r>
    </w:p>
    <w:bookmarkEnd w:id="9"/>
    <w:bookmarkEnd w:id="10"/>
    <w:p>
      <w:pPr>
        <w:spacing w:line="400" w:lineRule="exact"/>
        <w:ind w:left="360"/>
        <w:rPr>
          <w:rFonts w:ascii="宋体" w:hAnsi="宋体"/>
          <w:sz w:val="24"/>
        </w:rPr>
      </w:pPr>
      <w:r>
        <w:rPr>
          <w:rFonts w:hint="eastAsia" w:ascii="宋体" w:hAnsi="宋体"/>
          <w:sz w:val="24"/>
        </w:rPr>
        <w:t>包括但不限于：</w:t>
      </w:r>
    </w:p>
    <w:p>
      <w:pPr>
        <w:spacing w:line="400" w:lineRule="exact"/>
        <w:ind w:left="360"/>
        <w:rPr>
          <w:rFonts w:ascii="宋体" w:hAnsi="宋体"/>
          <w:sz w:val="24"/>
        </w:rPr>
      </w:pPr>
      <w:r>
        <w:rPr>
          <w:rFonts w:hint="eastAsia" w:ascii="宋体" w:hAnsi="宋体"/>
          <w:sz w:val="24"/>
        </w:rPr>
        <w:t>1.服务方案</w:t>
      </w:r>
    </w:p>
    <w:p>
      <w:pPr>
        <w:spacing w:line="400" w:lineRule="exact"/>
        <w:ind w:left="360"/>
        <w:rPr>
          <w:rFonts w:ascii="宋体" w:hAnsi="宋体"/>
          <w:sz w:val="24"/>
        </w:rPr>
      </w:pPr>
      <w:r>
        <w:rPr>
          <w:rFonts w:hint="eastAsia" w:ascii="宋体" w:hAnsi="宋体"/>
          <w:sz w:val="24"/>
        </w:rPr>
        <w:t>2.质量管控方案</w:t>
      </w:r>
    </w:p>
    <w:p>
      <w:pPr>
        <w:spacing w:line="400" w:lineRule="exact"/>
        <w:ind w:left="360"/>
        <w:rPr>
          <w:rFonts w:ascii="宋体" w:hAnsi="宋体"/>
          <w:sz w:val="24"/>
        </w:rPr>
      </w:pPr>
      <w:r>
        <w:rPr>
          <w:rFonts w:hint="eastAsia" w:ascii="宋体" w:hAnsi="宋体"/>
          <w:sz w:val="24"/>
        </w:rPr>
        <w:t>3.保密措施</w:t>
      </w:r>
    </w:p>
    <w:p>
      <w:pPr>
        <w:spacing w:line="400" w:lineRule="exact"/>
        <w:ind w:left="360"/>
        <w:rPr>
          <w:rFonts w:ascii="宋体" w:hAnsi="宋体"/>
          <w:sz w:val="24"/>
        </w:rPr>
      </w:pPr>
      <w:r>
        <w:rPr>
          <w:rFonts w:hint="eastAsia" w:ascii="宋体" w:hAnsi="宋体"/>
          <w:sz w:val="24"/>
        </w:rPr>
        <w:t>4.廉政措施</w:t>
      </w:r>
    </w:p>
    <w:p>
      <w:pPr>
        <w:spacing w:line="400" w:lineRule="exact"/>
        <w:ind w:left="360"/>
        <w:rPr>
          <w:rFonts w:ascii="宋体" w:hAnsi="宋体"/>
          <w:sz w:val="24"/>
        </w:rPr>
      </w:pPr>
      <w:r>
        <w:rPr>
          <w:rFonts w:hint="eastAsia" w:ascii="宋体" w:hAnsi="宋体"/>
          <w:sz w:val="24"/>
        </w:rPr>
        <w:t>5.遴选文件要求申请人提交的其他投标资料。</w:t>
      </w:r>
    </w:p>
    <w:p>
      <w:pPr>
        <w:pStyle w:val="9"/>
        <w:ind w:left="0" w:leftChars="0"/>
        <w:jc w:val="left"/>
        <w:rPr>
          <w:rFonts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D4CC4479"/>
    <w:multiLevelType w:val="singleLevel"/>
    <w:tmpl w:val="D4CC447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3YjZhMTVjNGZjOGRjNGFlYjAyMzVkMjE2MWY5ZDkifQ=="/>
  </w:docVars>
  <w:rsids>
    <w:rsidRoot w:val="72593F67"/>
    <w:rsid w:val="0006432E"/>
    <w:rsid w:val="0012546B"/>
    <w:rsid w:val="00134DDB"/>
    <w:rsid w:val="0019606C"/>
    <w:rsid w:val="00251F7E"/>
    <w:rsid w:val="00274120"/>
    <w:rsid w:val="00351645"/>
    <w:rsid w:val="003739FA"/>
    <w:rsid w:val="003B39C5"/>
    <w:rsid w:val="003D27A5"/>
    <w:rsid w:val="003D61F3"/>
    <w:rsid w:val="0041435D"/>
    <w:rsid w:val="004E2578"/>
    <w:rsid w:val="004E66FC"/>
    <w:rsid w:val="00535B2F"/>
    <w:rsid w:val="00584E43"/>
    <w:rsid w:val="006407B1"/>
    <w:rsid w:val="00646A44"/>
    <w:rsid w:val="0067769F"/>
    <w:rsid w:val="006872BB"/>
    <w:rsid w:val="0072441B"/>
    <w:rsid w:val="00755A19"/>
    <w:rsid w:val="007A06A7"/>
    <w:rsid w:val="007B306C"/>
    <w:rsid w:val="007E4BAF"/>
    <w:rsid w:val="008611C4"/>
    <w:rsid w:val="008D57E6"/>
    <w:rsid w:val="008D788B"/>
    <w:rsid w:val="008E7156"/>
    <w:rsid w:val="009D7040"/>
    <w:rsid w:val="009F266C"/>
    <w:rsid w:val="00A743E7"/>
    <w:rsid w:val="00AE58CA"/>
    <w:rsid w:val="00B35B6C"/>
    <w:rsid w:val="00B50F63"/>
    <w:rsid w:val="00C21AF0"/>
    <w:rsid w:val="00C30F05"/>
    <w:rsid w:val="00D02023"/>
    <w:rsid w:val="00D9291B"/>
    <w:rsid w:val="00DB3F63"/>
    <w:rsid w:val="00E67D09"/>
    <w:rsid w:val="00EF5C31"/>
    <w:rsid w:val="00F76A76"/>
    <w:rsid w:val="00F949B8"/>
    <w:rsid w:val="00FE5ADD"/>
    <w:rsid w:val="020F581B"/>
    <w:rsid w:val="02B81FC4"/>
    <w:rsid w:val="03CE4AC1"/>
    <w:rsid w:val="04B576E7"/>
    <w:rsid w:val="05E539FC"/>
    <w:rsid w:val="06A01B3E"/>
    <w:rsid w:val="075A4F6F"/>
    <w:rsid w:val="08E43E22"/>
    <w:rsid w:val="0A6F433D"/>
    <w:rsid w:val="0B7C6285"/>
    <w:rsid w:val="0B8E420A"/>
    <w:rsid w:val="0D23706B"/>
    <w:rsid w:val="0D781EB3"/>
    <w:rsid w:val="0E2126D1"/>
    <w:rsid w:val="0F836F31"/>
    <w:rsid w:val="10B320E6"/>
    <w:rsid w:val="10FE34D6"/>
    <w:rsid w:val="12192D01"/>
    <w:rsid w:val="13456871"/>
    <w:rsid w:val="13C24EDC"/>
    <w:rsid w:val="14452CDF"/>
    <w:rsid w:val="14787645"/>
    <w:rsid w:val="16756834"/>
    <w:rsid w:val="172352E2"/>
    <w:rsid w:val="17887D5F"/>
    <w:rsid w:val="198B6C2E"/>
    <w:rsid w:val="198D690B"/>
    <w:rsid w:val="1A665653"/>
    <w:rsid w:val="1B71747F"/>
    <w:rsid w:val="1C8431EB"/>
    <w:rsid w:val="1CB70620"/>
    <w:rsid w:val="1DB86BD6"/>
    <w:rsid w:val="1DC06732"/>
    <w:rsid w:val="1E7A0B66"/>
    <w:rsid w:val="1F316F2E"/>
    <w:rsid w:val="1FC7195A"/>
    <w:rsid w:val="20390790"/>
    <w:rsid w:val="20DD65B2"/>
    <w:rsid w:val="213827F6"/>
    <w:rsid w:val="217D46AD"/>
    <w:rsid w:val="21A954A2"/>
    <w:rsid w:val="22883309"/>
    <w:rsid w:val="24FE0836"/>
    <w:rsid w:val="26E01C2F"/>
    <w:rsid w:val="273B08EE"/>
    <w:rsid w:val="29C41C63"/>
    <w:rsid w:val="2A6C67BE"/>
    <w:rsid w:val="2C1A42E6"/>
    <w:rsid w:val="2D3224F4"/>
    <w:rsid w:val="2DB5657B"/>
    <w:rsid w:val="2F7C126E"/>
    <w:rsid w:val="2F866042"/>
    <w:rsid w:val="32250374"/>
    <w:rsid w:val="335D6BE9"/>
    <w:rsid w:val="33D257BB"/>
    <w:rsid w:val="34930E1C"/>
    <w:rsid w:val="36B31227"/>
    <w:rsid w:val="38801B56"/>
    <w:rsid w:val="3C383E60"/>
    <w:rsid w:val="3C984AF4"/>
    <w:rsid w:val="3DB66B25"/>
    <w:rsid w:val="3DE345AB"/>
    <w:rsid w:val="3E614CE2"/>
    <w:rsid w:val="3EC209CD"/>
    <w:rsid w:val="3FD92F93"/>
    <w:rsid w:val="42F9198D"/>
    <w:rsid w:val="46845A12"/>
    <w:rsid w:val="47535784"/>
    <w:rsid w:val="47F33F50"/>
    <w:rsid w:val="48654973"/>
    <w:rsid w:val="48AF0256"/>
    <w:rsid w:val="498130E7"/>
    <w:rsid w:val="4BFA0D76"/>
    <w:rsid w:val="4D007DBC"/>
    <w:rsid w:val="4D0A2440"/>
    <w:rsid w:val="4DAC150A"/>
    <w:rsid w:val="4EBD37C1"/>
    <w:rsid w:val="4F035942"/>
    <w:rsid w:val="502D6C8D"/>
    <w:rsid w:val="5139658B"/>
    <w:rsid w:val="513B1778"/>
    <w:rsid w:val="5201372D"/>
    <w:rsid w:val="53AE40CE"/>
    <w:rsid w:val="53BC4FBD"/>
    <w:rsid w:val="53E34A95"/>
    <w:rsid w:val="54967019"/>
    <w:rsid w:val="551B39E5"/>
    <w:rsid w:val="57F64D9B"/>
    <w:rsid w:val="59056CF3"/>
    <w:rsid w:val="5AA036ED"/>
    <w:rsid w:val="5AB6192F"/>
    <w:rsid w:val="5B777ACC"/>
    <w:rsid w:val="5C0A0910"/>
    <w:rsid w:val="5C703B8B"/>
    <w:rsid w:val="5DA14CA4"/>
    <w:rsid w:val="5FB25842"/>
    <w:rsid w:val="623D1FD3"/>
    <w:rsid w:val="63A53D0B"/>
    <w:rsid w:val="6712180F"/>
    <w:rsid w:val="6A1F67A3"/>
    <w:rsid w:val="6C2D6795"/>
    <w:rsid w:val="6C9526DB"/>
    <w:rsid w:val="6D535020"/>
    <w:rsid w:val="6EFF182A"/>
    <w:rsid w:val="6F4A216A"/>
    <w:rsid w:val="6FDB4B6B"/>
    <w:rsid w:val="70CB6D27"/>
    <w:rsid w:val="71084C2F"/>
    <w:rsid w:val="722577FA"/>
    <w:rsid w:val="72593F67"/>
    <w:rsid w:val="72C61F5D"/>
    <w:rsid w:val="72FB055A"/>
    <w:rsid w:val="74402BEB"/>
    <w:rsid w:val="744541A1"/>
    <w:rsid w:val="75DF4163"/>
    <w:rsid w:val="7859425A"/>
    <w:rsid w:val="79A61220"/>
    <w:rsid w:val="7AD1051F"/>
    <w:rsid w:val="7B5865CC"/>
    <w:rsid w:val="7BD1454E"/>
    <w:rsid w:val="7C505414"/>
    <w:rsid w:val="7CC903B0"/>
    <w:rsid w:val="7D1D7635"/>
    <w:rsid w:val="7D5B0573"/>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字符"/>
    <w:link w:val="2"/>
    <w:qFormat/>
    <w:uiPriority w:val="0"/>
    <w:rPr>
      <w:sz w:val="18"/>
    </w:rPr>
  </w:style>
  <w:style w:type="character" w:customStyle="1" w:styleId="25">
    <w:name w:val="标题 1 字符"/>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24</Pages>
  <Words>9276</Words>
  <Characters>9540</Characters>
  <Lines>78</Lines>
  <Paragraphs>22</Paragraphs>
  <TotalTime>24</TotalTime>
  <ScaleCrop>false</ScaleCrop>
  <LinksUpToDate>false</LinksUpToDate>
  <CharactersWithSpaces>10506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2022-08-03T09:43:00Z</dcterms:created>
  <dc:creator>asus</dc:creator>
  <cp:lastModifiedBy>熊小龙</cp:lastModifiedBy>
  <cp:lastPrinted>2022-08-24T01:12:19Z</cp:lastPrinted>
  <dcterms:modified xsi:type="dcterms:W3CDTF">2022-08-24T01:14:16Z</dcterms:modified>
  <dc:title>鄂州恒腾置业发展有限公司暨鄂州恒大誉府一期建设项目财务尽职调查遴选项目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7F05AF33B27A4A38A655BAD36945061D</vt:lpwstr>
  </property>
</Properties>
</file>